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3F3623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2F0D10">
        <w:rPr>
          <w:bCs/>
          <w:noProof w:val="0"/>
          <w:sz w:val="24"/>
          <w:szCs w:val="24"/>
        </w:rPr>
        <w:t>0532</w:t>
      </w:r>
    </w:p>
    <w:p w14:paraId="11776FA6" w14:textId="4CE0002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w:t>
      </w:r>
      <w:r w:rsidR="0088139A" w:rsidRPr="0088139A">
        <w:rPr>
          <w:rFonts w:eastAsia="SimSun"/>
          <w:bCs/>
          <w:sz w:val="24"/>
          <w:szCs w:val="24"/>
          <w:vertAlign w:val="superscript"/>
          <w:lang w:eastAsia="zh-CN"/>
        </w:rPr>
        <w:t>th</w:t>
      </w:r>
      <w:r w:rsidR="0088139A">
        <w:rPr>
          <w:rFonts w:eastAsia="SimSun"/>
          <w:bCs/>
          <w:sz w:val="24"/>
          <w:szCs w:val="24"/>
          <w:lang w:eastAsia="zh-CN"/>
        </w:rPr>
        <w:t xml:space="preserve"> of</w:t>
      </w:r>
      <w:r w:rsidR="00FE106D" w:rsidRPr="00FE106D">
        <w:rPr>
          <w:rFonts w:eastAsia="SimSun"/>
          <w:bCs/>
          <w:sz w:val="24"/>
          <w:szCs w:val="24"/>
          <w:lang w:eastAsia="zh-CN"/>
        </w:rPr>
        <w:t xml:space="preserve"> January – 05</w:t>
      </w:r>
      <w:r w:rsidR="0088139A" w:rsidRPr="0088139A">
        <w:rPr>
          <w:rFonts w:eastAsia="SimSun"/>
          <w:bCs/>
          <w:sz w:val="24"/>
          <w:szCs w:val="24"/>
          <w:vertAlign w:val="superscript"/>
          <w:lang w:eastAsia="zh-CN"/>
        </w:rPr>
        <w:t>th</w:t>
      </w:r>
      <w:r w:rsidR="0088139A">
        <w:rPr>
          <w:rFonts w:eastAsia="SimSun"/>
          <w:bCs/>
          <w:sz w:val="24"/>
          <w:szCs w:val="24"/>
          <w:lang w:eastAsia="zh-CN"/>
        </w:rPr>
        <w:t xml:space="preserve"> of</w:t>
      </w:r>
      <w:bookmarkStart w:id="0" w:name="_GoBack"/>
      <w:bookmarkEnd w:id="0"/>
      <w:r w:rsidR="00FE106D" w:rsidRPr="00FE106D">
        <w:rPr>
          <w:rFonts w:eastAsia="SimSun"/>
          <w:bCs/>
          <w:sz w:val="24"/>
          <w:szCs w:val="24"/>
          <w:lang w:eastAsia="zh-CN"/>
        </w:rPr>
        <w:t xml:space="preserve">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FF0ED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500F">
        <w:rPr>
          <w:rFonts w:cs="Arial"/>
          <w:b/>
          <w:bCs/>
          <w:sz w:val="24"/>
          <w:lang w:eastAsia="ja-JP"/>
        </w:rPr>
        <w:t>8.2.3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5AD9E6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0D10">
        <w:rPr>
          <w:rFonts w:ascii="Arial" w:hAnsi="Arial" w:cs="Arial"/>
          <w:b/>
          <w:bCs/>
          <w:sz w:val="24"/>
        </w:rPr>
        <w:t>On Rel-17 Further CPAC functionalities</w:t>
      </w:r>
    </w:p>
    <w:p w14:paraId="1F147C23" w14:textId="4ACB986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1500F" w:rsidRPr="00C1500F">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C1500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0473E8D" w14:textId="447B0690" w:rsidR="007134F1" w:rsidRPr="003056E7" w:rsidRDefault="00C37712" w:rsidP="007134F1">
      <w:r>
        <w:t xml:space="preserve">In RAN2 #112-e meeting, high level agreements have been made </w:t>
      </w:r>
      <w:r w:rsidR="00BB6734">
        <w:t>for</w:t>
      </w:r>
      <w:r>
        <w:t xml:space="preserve"> CPAC general procedures and</w:t>
      </w:r>
      <w:r w:rsidR="00BB6734">
        <w:t xml:space="preserve"> related</w:t>
      </w:r>
      <w:r>
        <w:t xml:space="preserve"> signalling</w:t>
      </w:r>
      <w:r w:rsidR="006976E7">
        <w:t xml:space="preserve"> </w:t>
      </w:r>
      <w:r w:rsidR="006976E7">
        <w:fldChar w:fldCharType="begin"/>
      </w:r>
      <w:r w:rsidR="006976E7">
        <w:instrText xml:space="preserve"> REF _Ref60657638 \r \h </w:instrText>
      </w:r>
      <w:r w:rsidR="006976E7">
        <w:fldChar w:fldCharType="separate"/>
      </w:r>
      <w:r w:rsidR="006976E7">
        <w:t>[1]</w:t>
      </w:r>
      <w:r w:rsidR="006976E7">
        <w:fldChar w:fldCharType="end"/>
      </w:r>
      <w:r>
        <w:t>.</w:t>
      </w:r>
      <w:r w:rsidR="00BF5B0C">
        <w:t xml:space="preserve"> </w:t>
      </w:r>
      <w:r w:rsidR="007134F1" w:rsidRPr="003056E7">
        <w:t>In this contribution,</w:t>
      </w:r>
      <w:r w:rsidR="007134F1">
        <w:t xml:space="preserve"> </w:t>
      </w:r>
      <w:r w:rsidR="007134F1" w:rsidRPr="003056E7">
        <w:t>we provide a list of other</w:t>
      </w:r>
      <w:r w:rsidR="00C23FE6">
        <w:t xml:space="preserve"> relevant</w:t>
      </w:r>
      <w:r w:rsidR="007134F1" w:rsidRPr="003056E7">
        <w:t xml:space="preserve"> topics that should be considered </w:t>
      </w:r>
      <w:r w:rsidR="007134F1">
        <w:t>for CPAC Rel. 17.</w:t>
      </w:r>
    </w:p>
    <w:p w14:paraId="61098029" w14:textId="3F70EA70" w:rsidR="00F15E74" w:rsidRPr="005D1CE6" w:rsidRDefault="00A209D6" w:rsidP="00F15E74">
      <w:pPr>
        <w:pStyle w:val="Heading1"/>
      </w:pPr>
      <w:r w:rsidRPr="006E13D1">
        <w:t>2</w:t>
      </w:r>
      <w:r w:rsidRPr="006E13D1">
        <w:tab/>
      </w:r>
      <w:r w:rsidR="00B12E7D">
        <w:t>Discussion</w:t>
      </w:r>
    </w:p>
    <w:p w14:paraId="730C2098" w14:textId="475F8BEE" w:rsidR="00BD49EC" w:rsidRPr="003056E7" w:rsidRDefault="00BD49EC" w:rsidP="00BD49EC">
      <w:pPr>
        <w:pStyle w:val="Heading2"/>
      </w:pPr>
      <w:r w:rsidRPr="003056E7">
        <w:t>2.</w:t>
      </w:r>
      <w:r>
        <w:t>1</w:t>
      </w:r>
      <w:r>
        <w:tab/>
      </w:r>
      <w:r w:rsidRPr="003056E7">
        <w:t>Interworking of CHO and CP</w:t>
      </w:r>
      <w:r w:rsidR="00C63E91">
        <w:t>A</w:t>
      </w:r>
      <w:r w:rsidRPr="003056E7">
        <w:t>C</w:t>
      </w:r>
      <w:r w:rsidR="0091501E">
        <w:t xml:space="preserve"> Procedures</w:t>
      </w:r>
    </w:p>
    <w:p w14:paraId="334B5BCF" w14:textId="2BA15928" w:rsidR="00BD49EC" w:rsidRPr="003056E7" w:rsidRDefault="00BD49EC" w:rsidP="00BD49EC">
      <w:pPr>
        <w:pStyle w:val="paragraph"/>
        <w:spacing w:before="0" w:beforeAutospacing="0" w:after="0" w:afterAutospacing="0"/>
        <w:textAlignment w:val="baseline"/>
        <w:rPr>
          <w:sz w:val="20"/>
          <w:szCs w:val="20"/>
          <w:lang w:val="en-GB" w:eastAsia="en-US"/>
        </w:rPr>
      </w:pPr>
      <w:r w:rsidRPr="003056E7">
        <w:rPr>
          <w:sz w:val="20"/>
          <w:szCs w:val="20"/>
          <w:lang w:val="en-GB" w:eastAsia="en-US"/>
        </w:rPr>
        <w:t xml:space="preserve">In Rel. 16, it has been agreed that the network (e.g. via OAM) ensures that </w:t>
      </w:r>
      <w:r>
        <w:rPr>
          <w:sz w:val="20"/>
          <w:szCs w:val="20"/>
          <w:lang w:val="en-GB" w:eastAsia="en-US"/>
        </w:rPr>
        <w:t>conditional handover (</w:t>
      </w:r>
      <w:r w:rsidRPr="003056E7">
        <w:rPr>
          <w:sz w:val="20"/>
          <w:szCs w:val="20"/>
          <w:lang w:val="en-GB" w:eastAsia="en-US"/>
        </w:rPr>
        <w:t>CHO</w:t>
      </w:r>
      <w:r>
        <w:rPr>
          <w:sz w:val="20"/>
          <w:szCs w:val="20"/>
          <w:lang w:val="en-GB" w:eastAsia="en-US"/>
        </w:rPr>
        <w:t>)</w:t>
      </w:r>
      <w:r w:rsidRPr="003056E7">
        <w:rPr>
          <w:sz w:val="20"/>
          <w:szCs w:val="20"/>
          <w:lang w:val="en-GB" w:eastAsia="en-US"/>
        </w:rPr>
        <w:t xml:space="preserve"> and C</w:t>
      </w:r>
      <w:r>
        <w:rPr>
          <w:sz w:val="20"/>
          <w:szCs w:val="20"/>
          <w:lang w:val="en-GB" w:eastAsia="en-US"/>
        </w:rPr>
        <w:t xml:space="preserve">onditional </w:t>
      </w:r>
      <w:r w:rsidRPr="003056E7">
        <w:rPr>
          <w:sz w:val="20"/>
          <w:szCs w:val="20"/>
          <w:lang w:val="en-GB" w:eastAsia="en-US"/>
        </w:rPr>
        <w:t>P</w:t>
      </w:r>
      <w:r>
        <w:rPr>
          <w:sz w:val="20"/>
          <w:szCs w:val="20"/>
          <w:lang w:val="en-GB" w:eastAsia="en-US"/>
        </w:rPr>
        <w:t xml:space="preserve">SCell </w:t>
      </w:r>
      <w:r w:rsidRPr="003056E7">
        <w:rPr>
          <w:sz w:val="20"/>
          <w:szCs w:val="20"/>
          <w:lang w:val="en-GB" w:eastAsia="en-US"/>
        </w:rPr>
        <w:t>C</w:t>
      </w:r>
      <w:r>
        <w:rPr>
          <w:sz w:val="20"/>
          <w:szCs w:val="20"/>
          <w:lang w:val="en-GB" w:eastAsia="en-US"/>
        </w:rPr>
        <w:t>hange (CPC)</w:t>
      </w:r>
      <w:r w:rsidRPr="003056E7">
        <w:rPr>
          <w:sz w:val="20"/>
          <w:szCs w:val="20"/>
          <w:lang w:val="en-GB" w:eastAsia="en-US"/>
        </w:rPr>
        <w:t xml:space="preserve"> are not configured simultaneously to UE.</w:t>
      </w:r>
      <w:r w:rsidRPr="005D1CE6">
        <w:rPr>
          <w:lang w:val="en-GB"/>
        </w:rPr>
        <w:t xml:space="preserve"> </w:t>
      </w:r>
      <w:r w:rsidRPr="003056E7">
        <w:rPr>
          <w:sz w:val="20"/>
          <w:szCs w:val="20"/>
          <w:lang w:val="en-GB" w:eastAsia="en-US"/>
        </w:rPr>
        <w:t>Having a closer look at such an OAM based solution reveals, that this would be a very static sol</w:t>
      </w:r>
      <w:r w:rsidRPr="007A3E8B">
        <w:rPr>
          <w:sz w:val="20"/>
          <w:szCs w:val="20"/>
          <w:lang w:val="en-GB" w:eastAsia="en-US"/>
        </w:rPr>
        <w:t>ution. OAM practically can only solve the issue by allowing either CHO or CPC in a certain neighbourhood</w:t>
      </w:r>
      <w:r w:rsidRPr="003056E7">
        <w:rPr>
          <w:sz w:val="20"/>
          <w:szCs w:val="20"/>
          <w:lang w:val="en-GB" w:eastAsia="en-US"/>
        </w:rPr>
        <w:t>. Such a configuration could spatially change (e.g. one neighbourhood has CHO, and a non-overlapping neighbourhood does CPC), and it could temporal</w:t>
      </w:r>
      <w:r>
        <w:rPr>
          <w:sz w:val="20"/>
          <w:szCs w:val="20"/>
          <w:lang w:val="en-GB" w:eastAsia="en-US"/>
        </w:rPr>
        <w:t>l</w:t>
      </w:r>
      <w:r w:rsidRPr="003056E7">
        <w:rPr>
          <w:sz w:val="20"/>
          <w:szCs w:val="20"/>
          <w:lang w:val="en-GB" w:eastAsia="en-US"/>
        </w:rPr>
        <w:t xml:space="preserve">y change (e.g. during the day CHO is allowed, and CPC is allowed during the night). But the configuration would be the same for all UEs, i.e. it cannot be different for different UEs, or different DC connections. Such a solution would be way too static and </w:t>
      </w:r>
      <w:r w:rsidRPr="007A3E8B">
        <w:rPr>
          <w:sz w:val="20"/>
          <w:szCs w:val="20"/>
          <w:lang w:val="en-GB" w:eastAsia="en-US"/>
        </w:rPr>
        <w:t>would massively reduce the potential benefits of CP</w:t>
      </w:r>
      <w:r w:rsidR="00181BB5">
        <w:rPr>
          <w:sz w:val="20"/>
          <w:szCs w:val="20"/>
          <w:lang w:val="en-GB" w:eastAsia="en-US"/>
        </w:rPr>
        <w:t>A</w:t>
      </w:r>
      <w:r w:rsidRPr="007A3E8B">
        <w:rPr>
          <w:sz w:val="20"/>
          <w:szCs w:val="20"/>
          <w:lang w:val="en-GB" w:eastAsia="en-US"/>
        </w:rPr>
        <w:t>C. A better</w:t>
      </w:r>
      <w:r w:rsidRPr="003056E7">
        <w:rPr>
          <w:sz w:val="20"/>
          <w:szCs w:val="20"/>
          <w:lang w:val="en-GB" w:eastAsia="en-US"/>
        </w:rPr>
        <w:t xml:space="preserve"> and more flexible solution is highly desirable.</w:t>
      </w:r>
    </w:p>
    <w:p w14:paraId="6D0DDFF3" w14:textId="77777777" w:rsidR="00BD49EC" w:rsidRPr="003056E7" w:rsidRDefault="00BD49EC" w:rsidP="00BD49EC">
      <w:pPr>
        <w:pStyle w:val="paragraph"/>
        <w:spacing w:before="0" w:beforeAutospacing="0" w:after="0" w:afterAutospacing="0"/>
        <w:textAlignment w:val="baseline"/>
        <w:rPr>
          <w:sz w:val="20"/>
          <w:szCs w:val="20"/>
          <w:lang w:val="en-GB" w:eastAsia="en-US"/>
        </w:rPr>
      </w:pPr>
    </w:p>
    <w:p w14:paraId="48555F9E" w14:textId="7FE0FB4C" w:rsidR="00BD49EC" w:rsidRPr="00941134" w:rsidRDefault="00BD49EC" w:rsidP="00BD49EC">
      <w:pPr>
        <w:pStyle w:val="paragraph"/>
        <w:spacing w:before="0" w:beforeAutospacing="0" w:after="0" w:afterAutospacing="0"/>
        <w:textAlignment w:val="baseline"/>
        <w:rPr>
          <w:sz w:val="20"/>
          <w:szCs w:val="20"/>
          <w:lang w:val="en-GB" w:eastAsia="en-US"/>
        </w:rPr>
      </w:pPr>
      <w:r w:rsidRPr="003056E7">
        <w:rPr>
          <w:b/>
          <w:bCs/>
          <w:sz w:val="20"/>
          <w:szCs w:val="20"/>
          <w:lang w:val="en-GB" w:eastAsia="en-US"/>
        </w:rPr>
        <w:t xml:space="preserve">Observation </w:t>
      </w:r>
      <w:r w:rsidR="00941134">
        <w:rPr>
          <w:b/>
          <w:bCs/>
          <w:sz w:val="20"/>
          <w:szCs w:val="20"/>
          <w:lang w:val="en-GB" w:eastAsia="en-US"/>
        </w:rPr>
        <w:t>1</w:t>
      </w:r>
      <w:r w:rsidRPr="003056E7">
        <w:rPr>
          <w:b/>
          <w:bCs/>
          <w:sz w:val="20"/>
          <w:szCs w:val="20"/>
          <w:lang w:val="en-GB" w:eastAsia="en-US"/>
        </w:rPr>
        <w:t xml:space="preserve">: </w:t>
      </w:r>
      <w:r w:rsidRPr="00941134">
        <w:rPr>
          <w:sz w:val="20"/>
          <w:szCs w:val="20"/>
          <w:lang w:val="en-GB" w:eastAsia="en-US"/>
        </w:rPr>
        <w:t>OAM-based solution for ensuring that CHO and CP</w:t>
      </w:r>
      <w:r w:rsidR="00181BB5">
        <w:rPr>
          <w:sz w:val="20"/>
          <w:szCs w:val="20"/>
          <w:lang w:val="en-GB" w:eastAsia="en-US"/>
        </w:rPr>
        <w:t>A</w:t>
      </w:r>
      <w:r w:rsidRPr="00941134">
        <w:rPr>
          <w:sz w:val="20"/>
          <w:szCs w:val="20"/>
          <w:lang w:val="en-GB" w:eastAsia="en-US"/>
        </w:rPr>
        <w:t>C are not configured simultaneously to UE is too static (e.g. does not differentiate among UEs) and would massively reduce the potential benefits of CP</w:t>
      </w:r>
      <w:r w:rsidR="00181BB5">
        <w:rPr>
          <w:sz w:val="20"/>
          <w:szCs w:val="20"/>
          <w:lang w:val="en-GB" w:eastAsia="en-US"/>
        </w:rPr>
        <w:t>A</w:t>
      </w:r>
      <w:r w:rsidRPr="00941134">
        <w:rPr>
          <w:sz w:val="20"/>
          <w:szCs w:val="20"/>
          <w:lang w:val="en-GB" w:eastAsia="en-US"/>
        </w:rPr>
        <w:t>C.</w:t>
      </w:r>
    </w:p>
    <w:p w14:paraId="0E42116F" w14:textId="77777777" w:rsidR="00BD49EC" w:rsidRPr="003056E7" w:rsidRDefault="00BD49EC" w:rsidP="00BD49EC">
      <w:pPr>
        <w:pStyle w:val="paragraph"/>
        <w:spacing w:before="0" w:beforeAutospacing="0" w:after="0" w:afterAutospacing="0"/>
        <w:textAlignment w:val="baseline"/>
        <w:rPr>
          <w:b/>
          <w:bCs/>
          <w:sz w:val="20"/>
          <w:szCs w:val="20"/>
          <w:lang w:val="en-GB" w:eastAsia="en-US"/>
        </w:rPr>
      </w:pPr>
    </w:p>
    <w:p w14:paraId="17A38B6B" w14:textId="2CA8EE91" w:rsidR="00BD49EC" w:rsidRPr="003056E7" w:rsidRDefault="00BD49EC" w:rsidP="00BD49EC">
      <w:pPr>
        <w:pStyle w:val="paragraph"/>
        <w:spacing w:before="0" w:beforeAutospacing="0" w:after="0" w:afterAutospacing="0"/>
        <w:textAlignment w:val="baseline"/>
        <w:rPr>
          <w:sz w:val="20"/>
          <w:szCs w:val="20"/>
          <w:lang w:val="en-GB" w:eastAsia="en-US"/>
        </w:rPr>
      </w:pPr>
      <w:r w:rsidRPr="003056E7">
        <w:rPr>
          <w:sz w:val="20"/>
          <w:szCs w:val="20"/>
          <w:lang w:val="en-GB" w:eastAsia="en-US"/>
        </w:rPr>
        <w:t>Two options are possible as way forward for this issue</w:t>
      </w:r>
      <w:r w:rsidR="00761DF9">
        <w:rPr>
          <w:sz w:val="20"/>
          <w:szCs w:val="20"/>
          <w:lang w:val="en-GB" w:eastAsia="en-US"/>
        </w:rPr>
        <w:t xml:space="preserve"> in Rel. 17</w:t>
      </w:r>
      <w:r w:rsidRPr="003056E7">
        <w:rPr>
          <w:sz w:val="20"/>
          <w:szCs w:val="20"/>
          <w:lang w:val="en-GB" w:eastAsia="en-US"/>
        </w:rPr>
        <w:t>:</w:t>
      </w:r>
    </w:p>
    <w:p w14:paraId="78285545" w14:textId="31D4DD98" w:rsidR="00BD49EC" w:rsidRPr="003056E7" w:rsidRDefault="00BD49EC" w:rsidP="00BD49EC">
      <w:pPr>
        <w:pStyle w:val="paragraph"/>
        <w:numPr>
          <w:ilvl w:val="0"/>
          <w:numId w:val="11"/>
        </w:numPr>
        <w:spacing w:before="0" w:beforeAutospacing="0" w:after="0" w:afterAutospacing="0"/>
        <w:textAlignment w:val="baseline"/>
        <w:rPr>
          <w:sz w:val="20"/>
          <w:szCs w:val="20"/>
          <w:lang w:val="en-GB" w:eastAsia="en-US"/>
        </w:rPr>
      </w:pPr>
      <w:r w:rsidRPr="003056E7">
        <w:rPr>
          <w:sz w:val="20"/>
          <w:szCs w:val="20"/>
          <w:lang w:val="en-GB" w:eastAsia="en-US"/>
        </w:rPr>
        <w:t xml:space="preserve">Option 1: A more dynamic solution, based on inter-node communication between MN and SN, ensures that CHO and </w:t>
      </w:r>
      <w:r w:rsidR="007C3954" w:rsidRPr="003056E7">
        <w:rPr>
          <w:sz w:val="20"/>
          <w:szCs w:val="20"/>
          <w:lang w:val="en-GB" w:eastAsia="en-US"/>
        </w:rPr>
        <w:t>C</w:t>
      </w:r>
      <w:r w:rsidR="007C3954">
        <w:rPr>
          <w:sz w:val="20"/>
          <w:szCs w:val="20"/>
          <w:lang w:val="en-GB" w:eastAsia="en-US"/>
        </w:rPr>
        <w:t xml:space="preserve">onditional </w:t>
      </w:r>
      <w:r w:rsidR="007C3954" w:rsidRPr="003056E7">
        <w:rPr>
          <w:sz w:val="20"/>
          <w:szCs w:val="20"/>
          <w:lang w:val="en-GB" w:eastAsia="en-US"/>
        </w:rPr>
        <w:t>P</w:t>
      </w:r>
      <w:r w:rsidR="007C3954">
        <w:rPr>
          <w:sz w:val="20"/>
          <w:szCs w:val="20"/>
          <w:lang w:val="en-GB" w:eastAsia="en-US"/>
        </w:rPr>
        <w:t>SCell Addition and Change</w:t>
      </w:r>
      <w:r w:rsidR="007C3954" w:rsidRPr="003056E7">
        <w:rPr>
          <w:sz w:val="20"/>
          <w:szCs w:val="20"/>
          <w:lang w:val="en-GB" w:eastAsia="en-US"/>
        </w:rPr>
        <w:t xml:space="preserve"> </w:t>
      </w:r>
      <w:r w:rsidR="007C3954">
        <w:rPr>
          <w:sz w:val="20"/>
          <w:szCs w:val="20"/>
          <w:lang w:val="en-GB" w:eastAsia="en-US"/>
        </w:rPr>
        <w:t>(</w:t>
      </w:r>
      <w:r w:rsidRPr="003056E7">
        <w:rPr>
          <w:sz w:val="20"/>
          <w:szCs w:val="20"/>
          <w:lang w:val="en-GB" w:eastAsia="en-US"/>
        </w:rPr>
        <w:t>CP</w:t>
      </w:r>
      <w:r w:rsidR="007C3954">
        <w:rPr>
          <w:sz w:val="20"/>
          <w:szCs w:val="20"/>
          <w:lang w:val="en-GB" w:eastAsia="en-US"/>
        </w:rPr>
        <w:t>A</w:t>
      </w:r>
      <w:r w:rsidRPr="003056E7">
        <w:rPr>
          <w:sz w:val="20"/>
          <w:szCs w:val="20"/>
          <w:lang w:val="en-GB" w:eastAsia="en-US"/>
        </w:rPr>
        <w:t>C</w:t>
      </w:r>
      <w:r w:rsidR="007C3954">
        <w:rPr>
          <w:sz w:val="20"/>
          <w:szCs w:val="20"/>
          <w:lang w:val="en-GB" w:eastAsia="en-US"/>
        </w:rPr>
        <w:t>)</w:t>
      </w:r>
      <w:r w:rsidRPr="003056E7">
        <w:rPr>
          <w:sz w:val="20"/>
          <w:szCs w:val="20"/>
          <w:lang w:val="en-GB" w:eastAsia="en-US"/>
        </w:rPr>
        <w:t xml:space="preserve"> are not configured simultaneously for the UE. The decision for allowing CHO or CP</w:t>
      </w:r>
      <w:r w:rsidR="00174035">
        <w:rPr>
          <w:sz w:val="20"/>
          <w:szCs w:val="20"/>
          <w:lang w:val="en-GB" w:eastAsia="en-US"/>
        </w:rPr>
        <w:t>A</w:t>
      </w:r>
      <w:r w:rsidRPr="003056E7">
        <w:rPr>
          <w:sz w:val="20"/>
          <w:szCs w:val="20"/>
          <w:lang w:val="en-GB" w:eastAsia="en-US"/>
        </w:rPr>
        <w:t xml:space="preserve">C can be done in this case per UE. </w:t>
      </w:r>
    </w:p>
    <w:p w14:paraId="3E5C2A42" w14:textId="6C96AC8D" w:rsidR="00BD49EC" w:rsidRPr="003056E7" w:rsidRDefault="00BD49EC" w:rsidP="00BD49EC">
      <w:pPr>
        <w:pStyle w:val="paragraph"/>
        <w:numPr>
          <w:ilvl w:val="0"/>
          <w:numId w:val="11"/>
        </w:numPr>
        <w:spacing w:before="0" w:beforeAutospacing="0" w:after="0" w:afterAutospacing="0"/>
        <w:textAlignment w:val="baseline"/>
        <w:rPr>
          <w:sz w:val="20"/>
          <w:szCs w:val="20"/>
          <w:lang w:val="en-GB" w:eastAsia="en-US"/>
        </w:rPr>
      </w:pPr>
      <w:r w:rsidRPr="003056E7">
        <w:rPr>
          <w:sz w:val="20"/>
          <w:szCs w:val="20"/>
          <w:lang w:val="en-GB" w:eastAsia="en-US"/>
        </w:rPr>
        <w:t>Option 2: CHO and CP</w:t>
      </w:r>
      <w:r w:rsidR="000152E7">
        <w:rPr>
          <w:sz w:val="20"/>
          <w:szCs w:val="20"/>
          <w:lang w:val="en-GB" w:eastAsia="en-US"/>
        </w:rPr>
        <w:t>A</w:t>
      </w:r>
      <w:r w:rsidRPr="003056E7">
        <w:rPr>
          <w:sz w:val="20"/>
          <w:szCs w:val="20"/>
          <w:lang w:val="en-GB" w:eastAsia="en-US"/>
        </w:rPr>
        <w:t>C are allowed to be configured by the network simultaneously. The co-existence of the two features would allow the UE to benefit from the advantages of CHO in terms of mobility robustness and CP</w:t>
      </w:r>
      <w:r w:rsidR="00686326">
        <w:rPr>
          <w:sz w:val="20"/>
          <w:szCs w:val="20"/>
          <w:lang w:val="en-GB" w:eastAsia="en-US"/>
        </w:rPr>
        <w:t>A</w:t>
      </w:r>
      <w:r w:rsidRPr="003056E7">
        <w:rPr>
          <w:sz w:val="20"/>
          <w:szCs w:val="20"/>
          <w:lang w:val="en-GB" w:eastAsia="en-US"/>
        </w:rPr>
        <w:t>C with respect to latency reduction in accessing PSCell, whenever possible.</w:t>
      </w:r>
    </w:p>
    <w:p w14:paraId="62166F7C" w14:textId="77777777" w:rsidR="007C3954" w:rsidRPr="003056E7" w:rsidRDefault="007C3954" w:rsidP="00BD49EC">
      <w:pPr>
        <w:pStyle w:val="paragraph"/>
        <w:spacing w:before="0" w:beforeAutospacing="0" w:after="0" w:afterAutospacing="0"/>
        <w:textAlignment w:val="baseline"/>
        <w:rPr>
          <w:sz w:val="20"/>
          <w:szCs w:val="20"/>
          <w:lang w:val="en-GB" w:eastAsia="en-US"/>
        </w:rPr>
      </w:pPr>
    </w:p>
    <w:p w14:paraId="5C5CE6B9" w14:textId="540F06A1" w:rsidR="00BD49EC" w:rsidRPr="00EA4DAB" w:rsidRDefault="00BD49EC" w:rsidP="00EA4DAB">
      <w:pPr>
        <w:pStyle w:val="paragraph"/>
        <w:spacing w:before="0" w:beforeAutospacing="0" w:after="0" w:afterAutospacing="0"/>
        <w:textAlignment w:val="baseline"/>
        <w:rPr>
          <w:sz w:val="20"/>
          <w:lang w:val="en-US"/>
        </w:rPr>
      </w:pPr>
      <w:r w:rsidRPr="003056E7">
        <w:rPr>
          <w:b/>
          <w:bCs/>
          <w:sz w:val="20"/>
          <w:szCs w:val="20"/>
          <w:lang w:val="en-GB" w:eastAsia="en-US"/>
        </w:rPr>
        <w:t xml:space="preserve">Proposal </w:t>
      </w:r>
      <w:r w:rsidR="00AD106F">
        <w:rPr>
          <w:b/>
          <w:bCs/>
          <w:sz w:val="20"/>
          <w:szCs w:val="20"/>
          <w:lang w:val="en-GB" w:eastAsia="en-US"/>
        </w:rPr>
        <w:t>1</w:t>
      </w:r>
      <w:r w:rsidRPr="003056E7">
        <w:rPr>
          <w:b/>
          <w:bCs/>
          <w:sz w:val="20"/>
          <w:szCs w:val="20"/>
          <w:lang w:val="en-GB" w:eastAsia="en-US"/>
        </w:rPr>
        <w:t xml:space="preserve">: </w:t>
      </w:r>
      <w:r w:rsidRPr="00AD106F">
        <w:rPr>
          <w:sz w:val="20"/>
          <w:szCs w:val="20"/>
          <w:lang w:val="en-GB" w:eastAsia="en-US"/>
        </w:rPr>
        <w:t>RAN2 is asked to discuss in Rel. 17 the co-existence of CHO and CP</w:t>
      </w:r>
      <w:r w:rsidR="00686326">
        <w:rPr>
          <w:sz w:val="20"/>
          <w:szCs w:val="20"/>
          <w:lang w:val="en-GB" w:eastAsia="en-US"/>
        </w:rPr>
        <w:t>A</w:t>
      </w:r>
      <w:r w:rsidRPr="00AD106F">
        <w:rPr>
          <w:sz w:val="20"/>
          <w:szCs w:val="20"/>
          <w:lang w:val="en-GB" w:eastAsia="en-US"/>
        </w:rPr>
        <w:t xml:space="preserve">C: Either 1) a more dynamic </w:t>
      </w:r>
      <w:r w:rsidR="00F26C1C">
        <w:rPr>
          <w:sz w:val="20"/>
          <w:szCs w:val="20"/>
          <w:lang w:val="en-GB" w:eastAsia="en-US"/>
        </w:rPr>
        <w:t xml:space="preserve">per-UE </w:t>
      </w:r>
      <w:r w:rsidRPr="00AD106F">
        <w:rPr>
          <w:sz w:val="20"/>
          <w:szCs w:val="20"/>
          <w:lang w:val="en-GB" w:eastAsia="en-US"/>
        </w:rPr>
        <w:t>solution, based on inter-node communication between MN and SN, ensur</w:t>
      </w:r>
      <w:r w:rsidR="00181BB5">
        <w:rPr>
          <w:sz w:val="20"/>
          <w:szCs w:val="20"/>
          <w:lang w:val="en-GB" w:eastAsia="en-US"/>
        </w:rPr>
        <w:t>ing</w:t>
      </w:r>
      <w:r w:rsidRPr="00AD106F">
        <w:rPr>
          <w:sz w:val="20"/>
          <w:szCs w:val="20"/>
          <w:lang w:val="en-GB" w:eastAsia="en-US"/>
        </w:rPr>
        <w:t xml:space="preserve"> that CHO and CP</w:t>
      </w:r>
      <w:r w:rsidR="00DF5686">
        <w:rPr>
          <w:sz w:val="20"/>
          <w:szCs w:val="20"/>
          <w:lang w:val="en-GB" w:eastAsia="en-US"/>
        </w:rPr>
        <w:t>A</w:t>
      </w:r>
      <w:r w:rsidRPr="00AD106F">
        <w:rPr>
          <w:sz w:val="20"/>
          <w:szCs w:val="20"/>
          <w:lang w:val="en-GB" w:eastAsia="en-US"/>
        </w:rPr>
        <w:t>C are not configured simultaneously or 2)  CHO and CP</w:t>
      </w:r>
      <w:r w:rsidR="00DA47AF">
        <w:rPr>
          <w:sz w:val="20"/>
          <w:szCs w:val="20"/>
          <w:lang w:val="en-GB" w:eastAsia="en-US"/>
        </w:rPr>
        <w:t>A</w:t>
      </w:r>
      <w:r w:rsidRPr="00AD106F">
        <w:rPr>
          <w:sz w:val="20"/>
          <w:szCs w:val="20"/>
          <w:lang w:val="en-GB" w:eastAsia="en-US"/>
        </w:rPr>
        <w:t>C are allowed to be configured by the network simultaneously. Details are FFS.</w:t>
      </w:r>
    </w:p>
    <w:p w14:paraId="44868A59" w14:textId="35273CF3" w:rsidR="00F15E74" w:rsidRPr="005D1CE6" w:rsidRDefault="00F15E74" w:rsidP="00F15E74">
      <w:pPr>
        <w:pStyle w:val="Heading2"/>
        <w:rPr>
          <w:rStyle w:val="normaltextrun"/>
        </w:rPr>
      </w:pPr>
      <w:r w:rsidRPr="003056E7">
        <w:t>2.</w:t>
      </w:r>
      <w:r w:rsidR="00CC4E2E">
        <w:t>2</w:t>
      </w:r>
      <w:r w:rsidRPr="003056E7">
        <w:tab/>
        <w:t>SCG Failure Information for CPAC</w:t>
      </w:r>
    </w:p>
    <w:p w14:paraId="2C2648C3" w14:textId="77777777" w:rsidR="00F15E74" w:rsidRPr="003056E7" w:rsidRDefault="00F15E74" w:rsidP="00F15E74">
      <w:r w:rsidRPr="003056E7">
        <w:t>In Rel-16 it was decided that the UE reports Failure Information towards the MN when CPC procedure fails, as per the following agreement:</w:t>
      </w:r>
    </w:p>
    <w:tbl>
      <w:tblPr>
        <w:tblStyle w:val="TableGrid"/>
        <w:tblW w:w="0" w:type="auto"/>
        <w:tblLook w:val="04A0" w:firstRow="1" w:lastRow="0" w:firstColumn="1" w:lastColumn="0" w:noHBand="0" w:noVBand="1"/>
      </w:tblPr>
      <w:tblGrid>
        <w:gridCol w:w="9631"/>
      </w:tblGrid>
      <w:tr w:rsidR="00F15E74" w:rsidRPr="003056E7" w14:paraId="5DDED08B" w14:textId="77777777" w:rsidTr="00BF7389">
        <w:tc>
          <w:tcPr>
            <w:tcW w:w="9631" w:type="dxa"/>
          </w:tcPr>
          <w:p w14:paraId="53C23E59" w14:textId="77777777" w:rsidR="00F15E74" w:rsidRPr="003056E7" w:rsidRDefault="00F15E74" w:rsidP="00BF7389">
            <w:r w:rsidRPr="003056E7">
              <w:t>The content of FailureReportSCG for CPC procedure failure should include failureType, measResultFreqList and measuResultSCG-Failure. These parameters are set according to the exiting SCGFailureInformation procedure. (same as legacy)</w:t>
            </w:r>
          </w:p>
        </w:tc>
      </w:tr>
    </w:tbl>
    <w:p w14:paraId="47F35A22" w14:textId="35FAF142" w:rsidR="00F15E74" w:rsidRPr="003056E7" w:rsidRDefault="00F15E74" w:rsidP="00F15E74">
      <w:r w:rsidRPr="003056E7">
        <w:br/>
        <w:t xml:space="preserve">However, quite many companies have found such approach (i.e. to reuse the legacy operation without any CPC-specific modifications) suboptimal and agreed to follow such path mainly due to the lack of time to specify more advanced </w:t>
      </w:r>
      <w:r w:rsidRPr="003056E7">
        <w:lastRenderedPageBreak/>
        <w:t>mechanisms. Thus, in Rel-17 we suggest to re</w:t>
      </w:r>
      <w:r w:rsidR="00AE08A6">
        <w:t>-o</w:t>
      </w:r>
      <w:r w:rsidRPr="003056E7">
        <w:t>pen the topic and thoroughly consider what kind of CPC/CPA specific aspects can be reported in such Failure Information towards the MN. It is especially peculiar to agree no changes to SCG Failure Information are needed in the beginning of the WI</w:t>
      </w:r>
      <w:r w:rsidR="002F0D10">
        <w:t xml:space="preserve"> (as suggested in some of the papers)</w:t>
      </w:r>
      <w:r w:rsidRPr="003056E7">
        <w:t>, when not much is known on what will be standardized. Please note that current framework allows to provide only the raw measurement results and indicate the legacy failure type (e.g. T310 expiry). As the reporting occurs towards the MN and MCG may not be aware of the CPC configuration</w:t>
      </w:r>
      <w:r w:rsidR="00B012B4">
        <w:t xml:space="preserve"> (when CPC is configured without MN’s involvement)</w:t>
      </w:r>
      <w:r w:rsidRPr="003056E7">
        <w:t>, it would be desired to provide more details in such report.</w:t>
      </w:r>
    </w:p>
    <w:p w14:paraId="5DD5AAEF" w14:textId="19E18208" w:rsidR="00F15E74" w:rsidRPr="003056E7" w:rsidRDefault="00F15E74" w:rsidP="00F15E74">
      <w:pPr>
        <w:rPr>
          <w:b/>
          <w:bCs/>
        </w:rPr>
      </w:pPr>
      <w:r w:rsidRPr="003056E7">
        <w:rPr>
          <w:b/>
          <w:bCs/>
        </w:rPr>
        <w:t xml:space="preserve">Proposal </w:t>
      </w:r>
      <w:r w:rsidR="00B06D95">
        <w:rPr>
          <w:b/>
          <w:bCs/>
        </w:rPr>
        <w:t>2</w:t>
      </w:r>
      <w:r w:rsidRPr="003056E7">
        <w:rPr>
          <w:b/>
          <w:bCs/>
        </w:rPr>
        <w:t xml:space="preserve">: </w:t>
      </w:r>
      <w:r w:rsidRPr="00B06D95">
        <w:t xml:space="preserve">RAN2 is asked to discuss what other SCG Failure Information components to specify for CPC and CPA. </w:t>
      </w:r>
    </w:p>
    <w:p w14:paraId="690B71D5" w14:textId="5F7E239B" w:rsidR="00F15E74" w:rsidRPr="003056E7" w:rsidRDefault="00F15E74" w:rsidP="00F15E74">
      <w:r w:rsidRPr="003056E7">
        <w:t xml:space="preserve">What additional </w:t>
      </w:r>
      <w:r w:rsidR="002F0D10">
        <w:t>parameters/IEs</w:t>
      </w:r>
      <w:r w:rsidRPr="003056E7">
        <w:t xml:space="preserve"> could be considered? For example, when SRB3 is used</w:t>
      </w:r>
      <w:r w:rsidR="00B828A3">
        <w:t xml:space="preserve"> in case of intra-SN CPC</w:t>
      </w:r>
      <w:r w:rsidRPr="003056E7">
        <w:t xml:space="preserve"> (and the MN could have been not aware of CPC), the SCG Failure Indication may include an information that CPC was pending/has been prepared. It can also contain the list of measurements, especially for those cells for which the UE has been prepared with CPC (i.e. candidate PSCells). That shall help the MN to choose the right cell to execute subsequent recovery actions. Eventually, SCG Failure Information can also comprise the execution condition per each of those cells, so that MCG can </w:t>
      </w:r>
      <w:r>
        <w:t>become aware</w:t>
      </w:r>
      <w:r w:rsidRPr="003056E7">
        <w:t xml:space="preserve"> which cell could be the most suitable candidate for subsequent reconfiguration.</w:t>
      </w:r>
    </w:p>
    <w:p w14:paraId="771ADE81" w14:textId="2328723E" w:rsidR="00F15E74" w:rsidRPr="002E50B6" w:rsidRDefault="00F15E74" w:rsidP="00F15E74">
      <w:r w:rsidRPr="003056E7">
        <w:rPr>
          <w:b/>
          <w:bCs/>
        </w:rPr>
        <w:t xml:space="preserve">Proposal </w:t>
      </w:r>
      <w:r w:rsidR="002E50B6">
        <w:rPr>
          <w:b/>
          <w:bCs/>
        </w:rPr>
        <w:t>3</w:t>
      </w:r>
      <w:r w:rsidRPr="002E50B6">
        <w:t>: SCG Failure Information for CPC should comprise the indication</w:t>
      </w:r>
      <w:r w:rsidR="00AE08A6">
        <w:t xml:space="preserve"> that</w:t>
      </w:r>
      <w:r w:rsidRPr="002E50B6">
        <w:t xml:space="preserve"> CPC was prepared or executed. In addition, it can contain the execution conditions per each CPC candidate and associated measurements.</w:t>
      </w:r>
    </w:p>
    <w:p w14:paraId="5CD6EACE" w14:textId="4FEEBE7E" w:rsidR="00F15E74" w:rsidRPr="003056E7" w:rsidRDefault="00F15E74" w:rsidP="00F15E74">
      <w:r w:rsidRPr="003056E7">
        <w:t xml:space="preserve">In Annex B of our Rel-16 paper </w:t>
      </w:r>
      <w:r w:rsidR="00510CFD">
        <w:fldChar w:fldCharType="begin"/>
      </w:r>
      <w:r w:rsidR="00510CFD">
        <w:instrText xml:space="preserve"> REF _Ref60738573 \r \h </w:instrText>
      </w:r>
      <w:r w:rsidR="00510CFD">
        <w:fldChar w:fldCharType="separate"/>
      </w:r>
      <w:r w:rsidR="00510CFD">
        <w:t>[2]</w:t>
      </w:r>
      <w:r w:rsidR="00510CFD">
        <w:fldChar w:fldCharType="end"/>
      </w:r>
      <w:r w:rsidRPr="003056E7">
        <w:t xml:space="preserve"> we have </w:t>
      </w:r>
      <w:r>
        <w:t xml:space="preserve">even </w:t>
      </w:r>
      <w:r w:rsidRPr="003056E7">
        <w:t>shown how such changes can be introduced into the SCG Failure Information</w:t>
      </w:r>
      <w:r>
        <w:t xml:space="preserve"> ASN.1 structure</w:t>
      </w:r>
      <w:r w:rsidRPr="003056E7">
        <w:t>.</w:t>
      </w:r>
    </w:p>
    <w:p w14:paraId="3BFAC910" w14:textId="1971EEB8" w:rsidR="00F15E74" w:rsidRPr="002E50B6" w:rsidRDefault="00F15E74" w:rsidP="00F15E74">
      <w:r w:rsidRPr="003056E7">
        <w:rPr>
          <w:b/>
          <w:bCs/>
        </w:rPr>
        <w:t xml:space="preserve">Proposal </w:t>
      </w:r>
      <w:r w:rsidR="002E50B6">
        <w:rPr>
          <w:b/>
          <w:bCs/>
        </w:rPr>
        <w:t>4</w:t>
      </w:r>
      <w:r w:rsidRPr="003056E7">
        <w:rPr>
          <w:b/>
          <w:bCs/>
        </w:rPr>
        <w:t xml:space="preserve">: </w:t>
      </w:r>
      <w:r w:rsidRPr="002E50B6">
        <w:t xml:space="preserve">If Proposal </w:t>
      </w:r>
      <w:r w:rsidR="002E50B6" w:rsidRPr="002E50B6">
        <w:t>3</w:t>
      </w:r>
      <w:r w:rsidRPr="002E50B6">
        <w:t xml:space="preserve"> is acceptable, RAN2 is asked to </w:t>
      </w:r>
      <w:r w:rsidR="00B012B4">
        <w:t>consider</w:t>
      </w:r>
      <w:r w:rsidR="00B012B4" w:rsidRPr="002E50B6">
        <w:t xml:space="preserve"> </w:t>
      </w:r>
      <w:r w:rsidRPr="002E50B6">
        <w:t xml:space="preserve">the RRC changes suggested in Annex B of </w:t>
      </w:r>
      <w:r w:rsidR="00510CFD">
        <w:fldChar w:fldCharType="begin"/>
      </w:r>
      <w:r w:rsidR="00510CFD">
        <w:instrText xml:space="preserve"> REF _Ref60738573 \r \h </w:instrText>
      </w:r>
      <w:r w:rsidR="00510CFD">
        <w:fldChar w:fldCharType="separate"/>
      </w:r>
      <w:r w:rsidR="00510CFD">
        <w:t>[2]</w:t>
      </w:r>
      <w:r w:rsidR="00510CFD">
        <w:fldChar w:fldCharType="end"/>
      </w:r>
      <w:r w:rsidR="00B012B4">
        <w:t xml:space="preserve"> for the corresponding Stage-3 work</w:t>
      </w:r>
      <w:r w:rsidRPr="002E50B6">
        <w:t>.</w:t>
      </w:r>
    </w:p>
    <w:p w14:paraId="3B70A616" w14:textId="677C1943" w:rsidR="00F15E74" w:rsidRPr="003056E7" w:rsidRDefault="00DD51C8" w:rsidP="00F15E74">
      <w:pPr>
        <w:pStyle w:val="Heading2"/>
      </w:pPr>
      <w:r>
        <w:t>2</w:t>
      </w:r>
      <w:r w:rsidR="00F15E74" w:rsidRPr="003056E7">
        <w:t>.</w:t>
      </w:r>
      <w:r>
        <w:t>3</w:t>
      </w:r>
      <w:r w:rsidR="00F15E74" w:rsidRPr="003056E7">
        <w:tab/>
        <w:t>RRC Reconfiguration during CPC</w:t>
      </w:r>
    </w:p>
    <w:p w14:paraId="6BA06C90" w14:textId="42DFDA24" w:rsidR="00F15E74" w:rsidRPr="003056E7" w:rsidRDefault="00F15E74" w:rsidP="00F15E74">
      <w:pPr>
        <w:pStyle w:val="paragraph"/>
        <w:spacing w:before="0" w:beforeAutospacing="0" w:after="0" w:afterAutospacing="0"/>
        <w:jc w:val="both"/>
        <w:textAlignment w:val="baseline"/>
        <w:rPr>
          <w:sz w:val="20"/>
          <w:szCs w:val="20"/>
          <w:lang w:val="en-GB" w:eastAsia="en-US"/>
        </w:rPr>
      </w:pPr>
      <w:r w:rsidRPr="007A3E8B">
        <w:rPr>
          <w:sz w:val="20"/>
          <w:szCs w:val="20"/>
          <w:lang w:val="en-GB" w:eastAsia="en-US"/>
        </w:rPr>
        <w:t>In MR-DC, the UE continues to receive RRC Reconfiguration messages from the MN while executing CPC. It has been agreed in Rel.</w:t>
      </w:r>
      <w:r w:rsidR="00737125">
        <w:rPr>
          <w:sz w:val="20"/>
          <w:szCs w:val="20"/>
          <w:lang w:val="en-GB" w:eastAsia="en-US"/>
        </w:rPr>
        <w:t>-</w:t>
      </w:r>
      <w:r w:rsidRPr="007A3E8B">
        <w:rPr>
          <w:sz w:val="20"/>
          <w:szCs w:val="20"/>
          <w:lang w:val="en-GB" w:eastAsia="en-US"/>
        </w:rPr>
        <w:t xml:space="preserve">16 that the UE should finalize the execution of the on-going CPC before processing the RRC Reconfiguration that is received from MN in the </w:t>
      </w:r>
      <w:r w:rsidRPr="003056E7">
        <w:rPr>
          <w:sz w:val="20"/>
          <w:szCs w:val="20"/>
          <w:lang w:val="en-GB" w:eastAsia="en-US"/>
        </w:rPr>
        <w:t>meantime</w:t>
      </w:r>
      <w:r w:rsidRPr="007A3E8B">
        <w:rPr>
          <w:sz w:val="20"/>
          <w:szCs w:val="20"/>
          <w:lang w:val="en-GB" w:eastAsia="en-US"/>
        </w:rPr>
        <w:t xml:space="preserve">. In many cases, the RRC Reconfiguration received from MN may depend on the current SCG configuration before the CPC is executed, e.g., providing delta configuration, and consequently, the UE may fail to comply with RRC Reconfiguration leading to reconfiguration failure and re-establishment. RAN2 is asked to consider </w:t>
      </w:r>
      <w:r>
        <w:rPr>
          <w:sz w:val="20"/>
          <w:szCs w:val="20"/>
          <w:lang w:val="en-GB" w:eastAsia="en-US"/>
        </w:rPr>
        <w:t>how</w:t>
      </w:r>
      <w:r w:rsidRPr="007A3E8B">
        <w:rPr>
          <w:sz w:val="20"/>
          <w:szCs w:val="20"/>
          <w:lang w:val="en-GB" w:eastAsia="en-US"/>
        </w:rPr>
        <w:t xml:space="preserve"> </w:t>
      </w:r>
      <w:r>
        <w:rPr>
          <w:sz w:val="20"/>
          <w:szCs w:val="20"/>
          <w:lang w:val="en-GB" w:eastAsia="en-US"/>
        </w:rPr>
        <w:t>such</w:t>
      </w:r>
      <w:r w:rsidRPr="007A3E8B">
        <w:rPr>
          <w:sz w:val="20"/>
          <w:szCs w:val="20"/>
          <w:lang w:val="en-GB" w:eastAsia="en-US"/>
        </w:rPr>
        <w:t xml:space="preserve"> unnecessary reconfiguration failures and re-establishment</w:t>
      </w:r>
      <w:r>
        <w:rPr>
          <w:sz w:val="20"/>
          <w:szCs w:val="20"/>
          <w:lang w:val="en-GB" w:eastAsia="en-US"/>
        </w:rPr>
        <w:t xml:space="preserve"> can be </w:t>
      </w:r>
      <w:r w:rsidR="00737125">
        <w:rPr>
          <w:sz w:val="20"/>
          <w:szCs w:val="20"/>
          <w:lang w:val="en-GB" w:eastAsia="en-US"/>
        </w:rPr>
        <w:t>a</w:t>
      </w:r>
      <w:r>
        <w:rPr>
          <w:sz w:val="20"/>
          <w:szCs w:val="20"/>
          <w:lang w:val="en-GB" w:eastAsia="en-US"/>
        </w:rPr>
        <w:t>voided</w:t>
      </w:r>
      <w:r w:rsidRPr="007A3E8B">
        <w:rPr>
          <w:sz w:val="20"/>
          <w:szCs w:val="20"/>
          <w:lang w:val="en-GB" w:eastAsia="en-US"/>
        </w:rPr>
        <w:t>.</w:t>
      </w:r>
      <w:r w:rsidR="00737125">
        <w:rPr>
          <w:sz w:val="20"/>
          <w:szCs w:val="20"/>
          <w:lang w:val="en-GB" w:eastAsia="en-US"/>
        </w:rPr>
        <w:t xml:space="preserve"> Please note this was already considered to be an issue in Rel-16 CPC work, but was not addressed due to the urgency to complete the WI.</w:t>
      </w:r>
      <w:r w:rsidRPr="003056E7">
        <w:rPr>
          <w:sz w:val="20"/>
          <w:szCs w:val="20"/>
          <w:lang w:val="en-GB" w:eastAsia="en-US"/>
        </w:rPr>
        <w:t> </w:t>
      </w:r>
    </w:p>
    <w:p w14:paraId="0471B099" w14:textId="77777777" w:rsidR="00F15E74" w:rsidRPr="007A3E8B" w:rsidRDefault="00F15E74" w:rsidP="00F15E74">
      <w:pPr>
        <w:pStyle w:val="paragraph"/>
        <w:spacing w:before="0" w:beforeAutospacing="0" w:after="0" w:afterAutospacing="0"/>
        <w:textAlignment w:val="baseline"/>
        <w:rPr>
          <w:sz w:val="20"/>
          <w:szCs w:val="20"/>
          <w:lang w:val="en-GB" w:eastAsia="en-US"/>
        </w:rPr>
      </w:pPr>
    </w:p>
    <w:p w14:paraId="1890A0CC" w14:textId="3ACCE29C" w:rsidR="00F15E74" w:rsidRPr="003056E7" w:rsidRDefault="00F15E74" w:rsidP="00F15E74">
      <w:pPr>
        <w:pStyle w:val="paragraph"/>
        <w:spacing w:before="0" w:beforeAutospacing="0" w:after="0" w:afterAutospacing="0"/>
        <w:textAlignment w:val="baseline"/>
        <w:rPr>
          <w:b/>
          <w:bCs/>
          <w:sz w:val="20"/>
          <w:szCs w:val="20"/>
          <w:lang w:val="en-GB" w:eastAsia="en-US"/>
        </w:rPr>
      </w:pPr>
      <w:r w:rsidRPr="007A3E8B">
        <w:rPr>
          <w:b/>
          <w:bCs/>
          <w:sz w:val="20"/>
          <w:szCs w:val="20"/>
          <w:lang w:val="en-GB" w:eastAsia="en-US"/>
        </w:rPr>
        <w:t>Proposal </w:t>
      </w:r>
      <w:r w:rsidR="00CD6DA4">
        <w:rPr>
          <w:b/>
          <w:bCs/>
          <w:sz w:val="20"/>
          <w:szCs w:val="20"/>
          <w:lang w:val="en-GB" w:eastAsia="en-US"/>
        </w:rPr>
        <w:t>5</w:t>
      </w:r>
      <w:r w:rsidRPr="007A3E8B">
        <w:rPr>
          <w:b/>
          <w:bCs/>
          <w:sz w:val="20"/>
          <w:szCs w:val="20"/>
          <w:lang w:val="en-GB" w:eastAsia="en-US"/>
        </w:rPr>
        <w:t xml:space="preserve">: </w:t>
      </w:r>
      <w:r w:rsidRPr="00CD6DA4">
        <w:rPr>
          <w:sz w:val="20"/>
          <w:szCs w:val="20"/>
          <w:lang w:val="en-GB" w:eastAsia="en-US"/>
        </w:rPr>
        <w:t>RAN2 is asked to consider how to avoid the unnecessary re-establishment caused by applying an RRC reconfiguration, received via MN while CPC is executed. The UE may no longer comply with that configuration due to the change of SCG configuration.</w:t>
      </w:r>
      <w:r w:rsidRPr="003056E7">
        <w:rPr>
          <w:b/>
          <w:bCs/>
          <w:sz w:val="20"/>
          <w:szCs w:val="20"/>
          <w:lang w:val="en-GB" w:eastAsia="en-US"/>
        </w:rPr>
        <w:t> </w:t>
      </w:r>
    </w:p>
    <w:p w14:paraId="7F7562F6" w14:textId="77777777" w:rsidR="00F15E74" w:rsidRPr="007A3E8B" w:rsidRDefault="00F15E74" w:rsidP="00F15E74">
      <w:pPr>
        <w:pStyle w:val="paragraph"/>
        <w:spacing w:before="0" w:beforeAutospacing="0" w:after="0" w:afterAutospacing="0"/>
        <w:textAlignment w:val="baseline"/>
        <w:rPr>
          <w:rStyle w:val="eop"/>
          <w:sz w:val="22"/>
          <w:szCs w:val="22"/>
          <w:lang w:val="en-GB"/>
        </w:rPr>
      </w:pPr>
    </w:p>
    <w:p w14:paraId="556261B1" w14:textId="394F3AEA" w:rsidR="00F15E74" w:rsidRPr="003056E7" w:rsidRDefault="00CD6DA4" w:rsidP="00F15E74">
      <w:pPr>
        <w:pStyle w:val="Heading2"/>
      </w:pPr>
      <w:r>
        <w:t>2</w:t>
      </w:r>
      <w:r w:rsidR="00F15E74" w:rsidRPr="003056E7">
        <w:t>.</w:t>
      </w:r>
      <w:r>
        <w:t>4</w:t>
      </w:r>
      <w:r w:rsidR="00F15E74" w:rsidRPr="003056E7">
        <w:tab/>
        <w:t>Conditional Inter-MN Handover with SN Change</w:t>
      </w:r>
    </w:p>
    <w:p w14:paraId="3A4A938D" w14:textId="20C073FE" w:rsidR="00F15E74" w:rsidRPr="007A3E8B" w:rsidRDefault="00F15E74" w:rsidP="00F15E74">
      <w:pPr>
        <w:pStyle w:val="paragraph"/>
        <w:spacing w:before="0" w:beforeAutospacing="0" w:after="0" w:afterAutospacing="0"/>
        <w:textAlignment w:val="baseline"/>
        <w:rPr>
          <w:sz w:val="20"/>
          <w:szCs w:val="20"/>
          <w:lang w:val="en-GB" w:eastAsia="en-US"/>
        </w:rPr>
      </w:pPr>
      <w:r w:rsidRPr="007A3E8B">
        <w:rPr>
          <w:sz w:val="20"/>
          <w:szCs w:val="20"/>
          <w:lang w:val="en-GB" w:eastAsia="en-US"/>
        </w:rPr>
        <w:t>For inter-MN handover with SN change [</w:t>
      </w:r>
      <w:r w:rsidR="001F18D3">
        <w:rPr>
          <w:sz w:val="20"/>
          <w:szCs w:val="20"/>
          <w:lang w:val="en-GB" w:eastAsia="en-US"/>
        </w:rPr>
        <w:t>3</w:t>
      </w:r>
      <w:r w:rsidRPr="007A3E8B">
        <w:rPr>
          <w:sz w:val="20"/>
          <w:szCs w:val="20"/>
          <w:lang w:val="en-GB" w:eastAsia="en-US"/>
        </w:rPr>
        <w:t xml:space="preserve">, cf. Section 10.7], the random access to the target PCell is immediately followed by accessing the new target PSCell. CHO only supports events for target PCell as part of conditional execution. During conditional PCell handover with SN change, it would be beneficial if the radio conditions of the PSCell are considered by the UE so that the target PSCell access may be performed also in a reliable manner, i.e. avoiding radio link failure caused by early access </w:t>
      </w:r>
      <w:r w:rsidR="00226268">
        <w:rPr>
          <w:sz w:val="20"/>
          <w:szCs w:val="20"/>
          <w:lang w:val="en-GB" w:eastAsia="en-US"/>
        </w:rPr>
        <w:t>to the</w:t>
      </w:r>
      <w:r w:rsidRPr="007A3E8B">
        <w:rPr>
          <w:sz w:val="20"/>
          <w:szCs w:val="20"/>
          <w:lang w:val="en-GB" w:eastAsia="en-US"/>
        </w:rPr>
        <w:t xml:space="preserve"> target PSCell. Moreover, it would also be desirable to add an SCG (among a potential candidate set of one or more PSCell(s)) as early as possible when the UE is performing CHO to allow the UE to enter dual connectivity immediately upon CHO execution. This requires extending the CHO feature for MR-DC deployments.</w:t>
      </w:r>
      <w:r>
        <w:rPr>
          <w:sz w:val="20"/>
          <w:szCs w:val="20"/>
          <w:lang w:val="en-GB" w:eastAsia="en-US"/>
        </w:rPr>
        <w:t xml:space="preserve"> For instance, when the CHO execution condition is met, the UE does not have to access the target PSCell immediately if its radio link strength/quality is not sufficient, but it could rather wait for another condition/event to be met for initiating the access. The condition/event for accessing the target PSCell can be configured by the network similarly to CHO.</w:t>
      </w:r>
    </w:p>
    <w:p w14:paraId="5A0B504D" w14:textId="77777777" w:rsidR="00F15E74" w:rsidRPr="007A3E8B" w:rsidRDefault="00F15E74" w:rsidP="00F15E74">
      <w:pPr>
        <w:pStyle w:val="paragraph"/>
        <w:spacing w:before="0" w:beforeAutospacing="0" w:after="0" w:afterAutospacing="0"/>
        <w:jc w:val="both"/>
        <w:textAlignment w:val="baseline"/>
        <w:rPr>
          <w:rFonts w:ascii="Segoe UI" w:hAnsi="Segoe UI" w:cs="Segoe UI"/>
          <w:sz w:val="18"/>
          <w:szCs w:val="18"/>
          <w:lang w:val="en-GB"/>
        </w:rPr>
      </w:pPr>
    </w:p>
    <w:p w14:paraId="7F149022" w14:textId="49A19D76" w:rsidR="00F15E74" w:rsidRPr="005D1CE6" w:rsidRDefault="00F15E74" w:rsidP="00F15E74">
      <w:pPr>
        <w:pStyle w:val="paragraph"/>
        <w:spacing w:before="0" w:beforeAutospacing="0" w:after="0" w:afterAutospacing="0"/>
        <w:textAlignment w:val="baseline"/>
        <w:rPr>
          <w:b/>
          <w:bCs/>
          <w:sz w:val="20"/>
          <w:szCs w:val="20"/>
          <w:lang w:val="en-GB" w:eastAsia="en-US"/>
        </w:rPr>
      </w:pPr>
      <w:r w:rsidRPr="007A3E8B">
        <w:rPr>
          <w:b/>
          <w:bCs/>
          <w:sz w:val="20"/>
          <w:szCs w:val="20"/>
          <w:lang w:val="en-GB" w:eastAsia="en-US"/>
        </w:rPr>
        <w:t>Proposal </w:t>
      </w:r>
      <w:r w:rsidR="007F682C">
        <w:rPr>
          <w:b/>
          <w:bCs/>
          <w:sz w:val="20"/>
          <w:szCs w:val="20"/>
          <w:lang w:val="en-GB" w:eastAsia="en-US"/>
        </w:rPr>
        <w:t>6</w:t>
      </w:r>
      <w:r w:rsidRPr="007A3E8B">
        <w:rPr>
          <w:b/>
          <w:bCs/>
          <w:sz w:val="20"/>
          <w:szCs w:val="20"/>
          <w:lang w:val="en-GB" w:eastAsia="en-US"/>
        </w:rPr>
        <w:t>:  </w:t>
      </w:r>
      <w:r w:rsidRPr="007F682C">
        <w:rPr>
          <w:sz w:val="20"/>
          <w:szCs w:val="20"/>
          <w:lang w:val="en-GB" w:eastAsia="en-US"/>
        </w:rPr>
        <w:t>RAN2 to study extending CHO feature to allow conditional target PSCell access for inter-MN handover with SN change.</w:t>
      </w:r>
    </w:p>
    <w:p w14:paraId="52EA5359" w14:textId="77777777" w:rsidR="00F15E74" w:rsidRDefault="00F15E74" w:rsidP="00F15E74">
      <w:pPr>
        <w:pStyle w:val="paragraph"/>
        <w:spacing w:before="0" w:beforeAutospacing="0" w:after="0" w:afterAutospacing="0"/>
        <w:textAlignment w:val="baseline"/>
        <w:rPr>
          <w:rFonts w:ascii="Segoe UI" w:hAnsi="Segoe UI" w:cs="Segoe UI"/>
          <w:sz w:val="18"/>
          <w:szCs w:val="18"/>
          <w:lang w:val="en-GB"/>
        </w:rPr>
      </w:pPr>
    </w:p>
    <w:p w14:paraId="5B479CFB" w14:textId="77777777" w:rsidR="00F15E74" w:rsidRPr="003056E7" w:rsidRDefault="00F15E74" w:rsidP="00F15E74">
      <w:pPr>
        <w:rPr>
          <w:b/>
          <w:bCs/>
        </w:rPr>
      </w:pPr>
    </w:p>
    <w:p w14:paraId="5FF2457F" w14:textId="566B8CC2" w:rsidR="00A209D6" w:rsidRPr="006E13D1" w:rsidRDefault="002F28CE" w:rsidP="00A209D6">
      <w:pPr>
        <w:pStyle w:val="Heading1"/>
      </w:pPr>
      <w:r>
        <w:lastRenderedPageBreak/>
        <w:t>3</w:t>
      </w:r>
      <w:r w:rsidR="00A209D6" w:rsidRPr="006E13D1">
        <w:tab/>
      </w:r>
      <w:r w:rsidR="008C3057">
        <w:t>Conclusion</w:t>
      </w:r>
    </w:p>
    <w:p w14:paraId="1ED12ED0" w14:textId="338F725E" w:rsidR="004F73A7" w:rsidRDefault="00855A49" w:rsidP="004F73A7">
      <w:r>
        <w:t>In this contribution, we have discussed</w:t>
      </w:r>
      <w:r w:rsidR="007F682C">
        <w:t xml:space="preserve"> some</w:t>
      </w:r>
      <w:r w:rsidR="00D02860">
        <w:t xml:space="preserve"> other</w:t>
      </w:r>
      <w:r w:rsidR="007F682C">
        <w:t xml:space="preserve"> relevant aspects that can be considered for CPAC Rel. 17.</w:t>
      </w:r>
      <w:r w:rsidR="002704A0">
        <w:t xml:space="preserve"> T</w:t>
      </w:r>
      <w:r>
        <w:t>he observations and proposals are summarized in the following:</w:t>
      </w:r>
    </w:p>
    <w:p w14:paraId="6956DFE3" w14:textId="257720B6" w:rsidR="00855A49" w:rsidRPr="00EA4DAB" w:rsidRDefault="00EA4DAB" w:rsidP="00EA4DAB">
      <w:pPr>
        <w:pStyle w:val="paragraph"/>
        <w:spacing w:before="0" w:beforeAutospacing="0" w:after="0" w:afterAutospacing="0"/>
        <w:textAlignment w:val="baseline"/>
        <w:rPr>
          <w:sz w:val="20"/>
          <w:szCs w:val="20"/>
          <w:lang w:val="en-GB" w:eastAsia="en-US"/>
        </w:rPr>
      </w:pPr>
      <w:r w:rsidRPr="003056E7">
        <w:rPr>
          <w:b/>
          <w:bCs/>
          <w:sz w:val="20"/>
          <w:szCs w:val="20"/>
          <w:lang w:val="en-GB" w:eastAsia="en-US"/>
        </w:rPr>
        <w:t xml:space="preserve">Observation </w:t>
      </w:r>
      <w:r>
        <w:rPr>
          <w:b/>
          <w:bCs/>
          <w:sz w:val="20"/>
          <w:szCs w:val="20"/>
          <w:lang w:val="en-GB" w:eastAsia="en-US"/>
        </w:rPr>
        <w:t>1</w:t>
      </w:r>
      <w:r w:rsidRPr="003056E7">
        <w:rPr>
          <w:b/>
          <w:bCs/>
          <w:sz w:val="20"/>
          <w:szCs w:val="20"/>
          <w:lang w:val="en-GB" w:eastAsia="en-US"/>
        </w:rPr>
        <w:t xml:space="preserve">: </w:t>
      </w:r>
      <w:r w:rsidRPr="00941134">
        <w:rPr>
          <w:sz w:val="20"/>
          <w:szCs w:val="20"/>
          <w:lang w:val="en-GB" w:eastAsia="en-US"/>
        </w:rPr>
        <w:t>OAM-based solution for ensuring that CHO and CP</w:t>
      </w:r>
      <w:r>
        <w:rPr>
          <w:sz w:val="20"/>
          <w:szCs w:val="20"/>
          <w:lang w:val="en-GB" w:eastAsia="en-US"/>
        </w:rPr>
        <w:t>A</w:t>
      </w:r>
      <w:r w:rsidRPr="00941134">
        <w:rPr>
          <w:sz w:val="20"/>
          <w:szCs w:val="20"/>
          <w:lang w:val="en-GB" w:eastAsia="en-US"/>
        </w:rPr>
        <w:t>C are not configured simultaneously to UE is too static (e.g. does not differentiate among UEs) and would massively reduce the potential benefits of CP</w:t>
      </w:r>
      <w:r>
        <w:rPr>
          <w:sz w:val="20"/>
          <w:szCs w:val="20"/>
          <w:lang w:val="en-GB" w:eastAsia="en-US"/>
        </w:rPr>
        <w:t>A</w:t>
      </w:r>
      <w:r w:rsidRPr="00941134">
        <w:rPr>
          <w:sz w:val="20"/>
          <w:szCs w:val="20"/>
          <w:lang w:val="en-GB" w:eastAsia="en-US"/>
        </w:rPr>
        <w:t>C.</w:t>
      </w:r>
      <w:r>
        <w:rPr>
          <w:sz w:val="20"/>
          <w:szCs w:val="20"/>
          <w:lang w:val="en-GB" w:eastAsia="en-US"/>
        </w:rPr>
        <w:br/>
      </w:r>
    </w:p>
    <w:p w14:paraId="4D72C7CF" w14:textId="002EA9F8" w:rsidR="00EA4DAB" w:rsidRPr="00EA4DAB" w:rsidRDefault="00EA4DAB" w:rsidP="00EA4DAB">
      <w:pPr>
        <w:pStyle w:val="paragraph"/>
        <w:spacing w:before="0" w:beforeAutospacing="0" w:after="0" w:afterAutospacing="0"/>
        <w:textAlignment w:val="baseline"/>
        <w:rPr>
          <w:sz w:val="20"/>
          <w:lang w:val="en-US"/>
        </w:rPr>
      </w:pPr>
      <w:r w:rsidRPr="003056E7">
        <w:rPr>
          <w:b/>
          <w:bCs/>
          <w:sz w:val="20"/>
          <w:szCs w:val="20"/>
          <w:lang w:val="en-GB" w:eastAsia="en-US"/>
        </w:rPr>
        <w:t xml:space="preserve">Proposal </w:t>
      </w:r>
      <w:r>
        <w:rPr>
          <w:b/>
          <w:bCs/>
          <w:sz w:val="20"/>
          <w:szCs w:val="20"/>
          <w:lang w:val="en-GB" w:eastAsia="en-US"/>
        </w:rPr>
        <w:t>1</w:t>
      </w:r>
      <w:r w:rsidRPr="003056E7">
        <w:rPr>
          <w:b/>
          <w:bCs/>
          <w:sz w:val="20"/>
          <w:szCs w:val="20"/>
          <w:lang w:val="en-GB" w:eastAsia="en-US"/>
        </w:rPr>
        <w:t xml:space="preserve">: </w:t>
      </w:r>
      <w:r w:rsidRPr="00AD106F">
        <w:rPr>
          <w:sz w:val="20"/>
          <w:szCs w:val="20"/>
          <w:lang w:val="en-GB" w:eastAsia="en-US"/>
        </w:rPr>
        <w:t>RAN2 is asked to discuss in Rel. 17 the co-existence of CHO and CP</w:t>
      </w:r>
      <w:r>
        <w:rPr>
          <w:sz w:val="20"/>
          <w:szCs w:val="20"/>
          <w:lang w:val="en-GB" w:eastAsia="en-US"/>
        </w:rPr>
        <w:t>A</w:t>
      </w:r>
      <w:r w:rsidRPr="00AD106F">
        <w:rPr>
          <w:sz w:val="20"/>
          <w:szCs w:val="20"/>
          <w:lang w:val="en-GB" w:eastAsia="en-US"/>
        </w:rPr>
        <w:t xml:space="preserve">C: Either 1) a more dynamic </w:t>
      </w:r>
      <w:r>
        <w:rPr>
          <w:sz w:val="20"/>
          <w:szCs w:val="20"/>
          <w:lang w:val="en-GB" w:eastAsia="en-US"/>
        </w:rPr>
        <w:t xml:space="preserve">per-UE </w:t>
      </w:r>
      <w:r w:rsidRPr="00AD106F">
        <w:rPr>
          <w:sz w:val="20"/>
          <w:szCs w:val="20"/>
          <w:lang w:val="en-GB" w:eastAsia="en-US"/>
        </w:rPr>
        <w:t>solution, based on inter-node communication between MN and SN, ensur</w:t>
      </w:r>
      <w:r>
        <w:rPr>
          <w:sz w:val="20"/>
          <w:szCs w:val="20"/>
          <w:lang w:val="en-GB" w:eastAsia="en-US"/>
        </w:rPr>
        <w:t>ing</w:t>
      </w:r>
      <w:r w:rsidRPr="00AD106F">
        <w:rPr>
          <w:sz w:val="20"/>
          <w:szCs w:val="20"/>
          <w:lang w:val="en-GB" w:eastAsia="en-US"/>
        </w:rPr>
        <w:t xml:space="preserve"> that CHO and CP</w:t>
      </w:r>
      <w:r>
        <w:rPr>
          <w:sz w:val="20"/>
          <w:szCs w:val="20"/>
          <w:lang w:val="en-GB" w:eastAsia="en-US"/>
        </w:rPr>
        <w:t>A</w:t>
      </w:r>
      <w:r w:rsidRPr="00AD106F">
        <w:rPr>
          <w:sz w:val="20"/>
          <w:szCs w:val="20"/>
          <w:lang w:val="en-GB" w:eastAsia="en-US"/>
        </w:rPr>
        <w:t>C are not configured simultaneously or 2)  CHO and CP</w:t>
      </w:r>
      <w:r>
        <w:rPr>
          <w:sz w:val="20"/>
          <w:szCs w:val="20"/>
          <w:lang w:val="en-GB" w:eastAsia="en-US"/>
        </w:rPr>
        <w:t>A</w:t>
      </w:r>
      <w:r w:rsidRPr="00AD106F">
        <w:rPr>
          <w:sz w:val="20"/>
          <w:szCs w:val="20"/>
          <w:lang w:val="en-GB" w:eastAsia="en-US"/>
        </w:rPr>
        <w:t>C are allowed to be configured by the network simultaneously. Details are FFS.</w:t>
      </w:r>
      <w:r>
        <w:rPr>
          <w:sz w:val="20"/>
          <w:szCs w:val="20"/>
          <w:lang w:val="en-GB" w:eastAsia="en-US"/>
        </w:rPr>
        <w:br/>
      </w:r>
    </w:p>
    <w:p w14:paraId="28FFFD44" w14:textId="7FA3E41A" w:rsidR="00EA4DAB" w:rsidRPr="003056E7" w:rsidRDefault="00EA4DAB" w:rsidP="00EA4DAB">
      <w:pPr>
        <w:rPr>
          <w:b/>
          <w:bCs/>
        </w:rPr>
      </w:pPr>
      <w:r w:rsidRPr="003056E7">
        <w:rPr>
          <w:b/>
          <w:bCs/>
        </w:rPr>
        <w:t xml:space="preserve">Proposal </w:t>
      </w:r>
      <w:r>
        <w:rPr>
          <w:b/>
          <w:bCs/>
        </w:rPr>
        <w:t>2</w:t>
      </w:r>
      <w:r w:rsidRPr="003056E7">
        <w:rPr>
          <w:b/>
          <w:bCs/>
        </w:rPr>
        <w:t xml:space="preserve">: </w:t>
      </w:r>
      <w:r w:rsidRPr="00B06D95">
        <w:t xml:space="preserve">RAN2 is asked to discuss what other SCG Failure Information components to specify for CPC and CPA. </w:t>
      </w:r>
    </w:p>
    <w:p w14:paraId="0FE05EF3" w14:textId="77777777" w:rsidR="00EA4DAB" w:rsidRPr="002E50B6" w:rsidRDefault="00EA4DAB" w:rsidP="00EA4DAB">
      <w:r w:rsidRPr="003056E7">
        <w:rPr>
          <w:b/>
          <w:bCs/>
        </w:rPr>
        <w:t xml:space="preserve">Proposal </w:t>
      </w:r>
      <w:r>
        <w:rPr>
          <w:b/>
          <w:bCs/>
        </w:rPr>
        <w:t>3</w:t>
      </w:r>
      <w:r w:rsidRPr="002E50B6">
        <w:t>: SCG Failure Information for CPC should comprise the indication</w:t>
      </w:r>
      <w:r>
        <w:t xml:space="preserve"> that</w:t>
      </w:r>
      <w:r w:rsidRPr="002E50B6">
        <w:t xml:space="preserve"> CPC was prepared or executed. In addition, it can contain the execution conditions per each CPC candidate and associated measurements.</w:t>
      </w:r>
    </w:p>
    <w:p w14:paraId="07CC9B11" w14:textId="77777777" w:rsidR="00EA4DAB" w:rsidRPr="002E50B6" w:rsidRDefault="00EA4DAB" w:rsidP="00EA4DAB">
      <w:r w:rsidRPr="003056E7">
        <w:rPr>
          <w:b/>
          <w:bCs/>
        </w:rPr>
        <w:t xml:space="preserve">Proposal </w:t>
      </w:r>
      <w:r>
        <w:rPr>
          <w:b/>
          <w:bCs/>
        </w:rPr>
        <w:t>4</w:t>
      </w:r>
      <w:r w:rsidRPr="003056E7">
        <w:rPr>
          <w:b/>
          <w:bCs/>
        </w:rPr>
        <w:t xml:space="preserve">: </w:t>
      </w:r>
      <w:r w:rsidRPr="002E50B6">
        <w:t xml:space="preserve">If Proposal 3 is acceptable, RAN2 is asked to </w:t>
      </w:r>
      <w:r>
        <w:t>consider</w:t>
      </w:r>
      <w:r w:rsidRPr="002E50B6">
        <w:t xml:space="preserve"> the RRC changes suggested in Annex B of </w:t>
      </w:r>
      <w:r>
        <w:fldChar w:fldCharType="begin"/>
      </w:r>
      <w:r>
        <w:instrText xml:space="preserve"> REF _Ref60738573 \r \h </w:instrText>
      </w:r>
      <w:r>
        <w:fldChar w:fldCharType="separate"/>
      </w:r>
      <w:r>
        <w:t>[2]</w:t>
      </w:r>
      <w:r>
        <w:fldChar w:fldCharType="end"/>
      </w:r>
      <w:r>
        <w:t xml:space="preserve"> for the corresponding Stage-3 work</w:t>
      </w:r>
      <w:r w:rsidRPr="002E50B6">
        <w:t>.</w:t>
      </w:r>
    </w:p>
    <w:p w14:paraId="66623DA9" w14:textId="77777777" w:rsidR="00EA4DAB" w:rsidRDefault="00EA4DAB" w:rsidP="00EA4DAB">
      <w:pPr>
        <w:pStyle w:val="paragraph"/>
        <w:spacing w:before="0" w:beforeAutospacing="0" w:after="0" w:afterAutospacing="0"/>
        <w:textAlignment w:val="baseline"/>
        <w:rPr>
          <w:sz w:val="20"/>
          <w:szCs w:val="20"/>
          <w:lang w:val="en-GB" w:eastAsia="en-US"/>
        </w:rPr>
      </w:pPr>
      <w:r w:rsidRPr="007A3E8B">
        <w:rPr>
          <w:b/>
          <w:bCs/>
          <w:sz w:val="20"/>
          <w:szCs w:val="20"/>
          <w:lang w:val="en-GB" w:eastAsia="en-US"/>
        </w:rPr>
        <w:t>Proposal </w:t>
      </w:r>
      <w:r>
        <w:rPr>
          <w:b/>
          <w:bCs/>
          <w:sz w:val="20"/>
          <w:szCs w:val="20"/>
          <w:lang w:val="en-GB" w:eastAsia="en-US"/>
        </w:rPr>
        <w:t>5</w:t>
      </w:r>
      <w:r w:rsidRPr="007A3E8B">
        <w:rPr>
          <w:b/>
          <w:bCs/>
          <w:sz w:val="20"/>
          <w:szCs w:val="20"/>
          <w:lang w:val="en-GB" w:eastAsia="en-US"/>
        </w:rPr>
        <w:t xml:space="preserve">: </w:t>
      </w:r>
      <w:r w:rsidRPr="00CD6DA4">
        <w:rPr>
          <w:sz w:val="20"/>
          <w:szCs w:val="20"/>
          <w:lang w:val="en-GB" w:eastAsia="en-US"/>
        </w:rPr>
        <w:t>RAN2 is asked to consider how to avoid the unnecessary re-establishment caused by applying an RRC reconfiguration, received via MN while CPC is executed. The UE may no longer comply with that configuration due to the change of SCG configuration.</w:t>
      </w:r>
    </w:p>
    <w:p w14:paraId="076EBF36" w14:textId="5535DC25" w:rsidR="00EA4DAB" w:rsidRPr="00EA4DAB" w:rsidRDefault="00EA4DAB" w:rsidP="00EA4DAB">
      <w:pPr>
        <w:spacing w:after="0"/>
      </w:pPr>
      <w:r w:rsidRPr="003056E7">
        <w:rPr>
          <w:b/>
          <w:bCs/>
        </w:rPr>
        <w:t> </w:t>
      </w:r>
    </w:p>
    <w:p w14:paraId="24212496" w14:textId="77777777" w:rsidR="00EA4DAB" w:rsidRPr="005D1CE6" w:rsidRDefault="00EA4DAB" w:rsidP="00EA4DAB">
      <w:pPr>
        <w:pStyle w:val="paragraph"/>
        <w:spacing w:before="0" w:beforeAutospacing="0" w:after="0" w:afterAutospacing="0"/>
        <w:textAlignment w:val="baseline"/>
        <w:rPr>
          <w:b/>
          <w:bCs/>
          <w:sz w:val="20"/>
          <w:szCs w:val="20"/>
          <w:lang w:val="en-GB" w:eastAsia="en-US"/>
        </w:rPr>
      </w:pPr>
      <w:r w:rsidRPr="007A3E8B">
        <w:rPr>
          <w:b/>
          <w:bCs/>
          <w:sz w:val="20"/>
          <w:szCs w:val="20"/>
          <w:lang w:val="en-GB" w:eastAsia="en-US"/>
        </w:rPr>
        <w:t>Proposal </w:t>
      </w:r>
      <w:r>
        <w:rPr>
          <w:b/>
          <w:bCs/>
          <w:sz w:val="20"/>
          <w:szCs w:val="20"/>
          <w:lang w:val="en-GB" w:eastAsia="en-US"/>
        </w:rPr>
        <w:t>6</w:t>
      </w:r>
      <w:r w:rsidRPr="007A3E8B">
        <w:rPr>
          <w:b/>
          <w:bCs/>
          <w:sz w:val="20"/>
          <w:szCs w:val="20"/>
          <w:lang w:val="en-GB" w:eastAsia="en-US"/>
        </w:rPr>
        <w:t>:  </w:t>
      </w:r>
      <w:r w:rsidRPr="007F682C">
        <w:rPr>
          <w:sz w:val="20"/>
          <w:szCs w:val="20"/>
          <w:lang w:val="en-GB" w:eastAsia="en-US"/>
        </w:rPr>
        <w:t>RAN2 to study extending CHO feature to allow conditional target PSCell access for inter-MN handover with SN change.</w:t>
      </w:r>
    </w:p>
    <w:p w14:paraId="163A3D5A" w14:textId="77777777" w:rsidR="00EA4DAB" w:rsidRPr="006E13D1" w:rsidRDefault="00EA4DAB" w:rsidP="004F73A7"/>
    <w:p w14:paraId="0D0A1BB8" w14:textId="7DBE8331" w:rsidR="00377F10" w:rsidRPr="003056E7" w:rsidRDefault="00377F10" w:rsidP="00377F10">
      <w:pPr>
        <w:pStyle w:val="Heading1"/>
      </w:pPr>
      <w:r w:rsidRPr="003056E7">
        <w:t>Reference</w:t>
      </w:r>
      <w:r>
        <w:t>s</w:t>
      </w:r>
    </w:p>
    <w:p w14:paraId="57D62CD9" w14:textId="1D80E3D9" w:rsidR="00377F10" w:rsidRPr="003056E7" w:rsidRDefault="00377F10" w:rsidP="00377F10">
      <w:pPr>
        <w:numPr>
          <w:ilvl w:val="0"/>
          <w:numId w:val="4"/>
        </w:numPr>
        <w:overflowPunct w:val="0"/>
        <w:autoSpaceDE w:val="0"/>
        <w:autoSpaceDN w:val="0"/>
        <w:adjustRightInd w:val="0"/>
        <w:textAlignment w:val="baseline"/>
      </w:pPr>
      <w:bookmarkStart w:id="1" w:name="_Ref53417329"/>
      <w:bookmarkStart w:id="2" w:name="_Ref60657638"/>
      <w:bookmarkStart w:id="3" w:name="_Ref75086397"/>
      <w:r w:rsidRPr="003056E7">
        <w:t>R2-</w:t>
      </w:r>
      <w:bookmarkEnd w:id="1"/>
      <w:r>
        <w:t xml:space="preserve">2100001, </w:t>
      </w:r>
      <w:r w:rsidRPr="00377F10">
        <w:rPr>
          <w:i/>
          <w:iCs/>
        </w:rPr>
        <w:t>Report of 3GPP TSG RAN2#112-e meeting, Online</w:t>
      </w:r>
      <w:r>
        <w:t>, 3GPP TSG-RAN WG2 meeting #112-e.</w:t>
      </w:r>
      <w:bookmarkEnd w:id="2"/>
    </w:p>
    <w:p w14:paraId="313B61A8" w14:textId="32BA7C37" w:rsidR="00B001B3" w:rsidRDefault="00B001B3" w:rsidP="00B001B3">
      <w:pPr>
        <w:numPr>
          <w:ilvl w:val="0"/>
          <w:numId w:val="4"/>
        </w:numPr>
        <w:overflowPunct w:val="0"/>
        <w:autoSpaceDE w:val="0"/>
        <w:autoSpaceDN w:val="0"/>
        <w:adjustRightInd w:val="0"/>
        <w:textAlignment w:val="baseline"/>
      </w:pPr>
      <w:bookmarkStart w:id="4" w:name="_Ref60738573"/>
      <w:bookmarkEnd w:id="3"/>
      <w:r w:rsidRPr="003056E7">
        <w:t>R2-2003107</w:t>
      </w:r>
      <w:r w:rsidR="00DD51C8">
        <w:t>,</w:t>
      </w:r>
      <w:r w:rsidRPr="003056E7">
        <w:t xml:space="preserve"> </w:t>
      </w:r>
      <w:r w:rsidRPr="003056E7">
        <w:rPr>
          <w:i/>
          <w:iCs/>
        </w:rPr>
        <w:t>On how to close the open issues for Conditional PSCell Change</w:t>
      </w:r>
      <w:r w:rsidRPr="003056E7">
        <w:t xml:space="preserve"> 3GPP TSG-RAN WG2 Meeting #109bis-e Elbonia, 20 – 30 April 2020</w:t>
      </w:r>
      <w:r w:rsidR="00510CFD">
        <w:t>.</w:t>
      </w:r>
      <w:bookmarkEnd w:id="4"/>
    </w:p>
    <w:p w14:paraId="1562CD10" w14:textId="77777777" w:rsidR="001F18D3" w:rsidRPr="003056E7" w:rsidRDefault="001F18D3" w:rsidP="001F18D3">
      <w:pPr>
        <w:numPr>
          <w:ilvl w:val="0"/>
          <w:numId w:val="4"/>
        </w:numPr>
        <w:overflowPunct w:val="0"/>
        <w:autoSpaceDE w:val="0"/>
        <w:autoSpaceDN w:val="0"/>
        <w:adjustRightInd w:val="0"/>
        <w:textAlignment w:val="baseline"/>
      </w:pPr>
      <w:bookmarkStart w:id="5" w:name="_Ref60738774"/>
      <w:r w:rsidRPr="003056E7">
        <w:t>TS 37.340, Multi-connectivity, Stage 2 (Release 16), V16.3.0.</w:t>
      </w:r>
      <w:bookmarkEnd w:id="5"/>
    </w:p>
    <w:p w14:paraId="373C0A45" w14:textId="77777777" w:rsidR="001F18D3" w:rsidRPr="003056E7" w:rsidRDefault="001F18D3" w:rsidP="001F18D3">
      <w:pPr>
        <w:overflowPunct w:val="0"/>
        <w:autoSpaceDE w:val="0"/>
        <w:autoSpaceDN w:val="0"/>
        <w:adjustRightInd w:val="0"/>
        <w:textAlignment w:val="baseline"/>
      </w:pP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E3B3456" w16cex:dateUtc="2021-01-05T07:14:27.05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30E48" w14:textId="77777777" w:rsidR="00945DAE" w:rsidRDefault="00945DAE">
      <w:r>
        <w:separator/>
      </w:r>
    </w:p>
  </w:endnote>
  <w:endnote w:type="continuationSeparator" w:id="0">
    <w:p w14:paraId="43FE2BB8" w14:textId="77777777" w:rsidR="00945DAE" w:rsidRDefault="00945DAE">
      <w:r>
        <w:continuationSeparator/>
      </w:r>
    </w:p>
  </w:endnote>
  <w:endnote w:type="continuationNotice" w:id="1">
    <w:p w14:paraId="185AB129" w14:textId="77777777" w:rsidR="00945DAE" w:rsidRDefault="00945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14D76" w:rsidRDefault="00914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14D76" w:rsidRDefault="00914D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14D76" w:rsidRDefault="00914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30A1C" w14:textId="77777777" w:rsidR="00945DAE" w:rsidRDefault="00945DAE">
      <w:r>
        <w:separator/>
      </w:r>
    </w:p>
  </w:footnote>
  <w:footnote w:type="continuationSeparator" w:id="0">
    <w:p w14:paraId="49B264EC" w14:textId="77777777" w:rsidR="00945DAE" w:rsidRDefault="00945DAE">
      <w:r>
        <w:continuationSeparator/>
      </w:r>
    </w:p>
  </w:footnote>
  <w:footnote w:type="continuationNotice" w:id="1">
    <w:p w14:paraId="50C0D78E" w14:textId="77777777" w:rsidR="00945DAE" w:rsidRDefault="00945D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14D76" w:rsidRDefault="00914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14D76" w:rsidRDefault="00914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14D76" w:rsidRDefault="00914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753BE"/>
    <w:multiLevelType w:val="multilevel"/>
    <w:tmpl w:val="E6C80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DD5B99"/>
    <w:multiLevelType w:val="hybridMultilevel"/>
    <w:tmpl w:val="8728797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8"/>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680"/>
    <w:rsid w:val="00013DD4"/>
    <w:rsid w:val="000152E7"/>
    <w:rsid w:val="0001645E"/>
    <w:rsid w:val="00016557"/>
    <w:rsid w:val="00023C40"/>
    <w:rsid w:val="00031569"/>
    <w:rsid w:val="00033397"/>
    <w:rsid w:val="00037FD3"/>
    <w:rsid w:val="00040095"/>
    <w:rsid w:val="00047A75"/>
    <w:rsid w:val="00073C9C"/>
    <w:rsid w:val="00080512"/>
    <w:rsid w:val="00090468"/>
    <w:rsid w:val="00094568"/>
    <w:rsid w:val="00096F3A"/>
    <w:rsid w:val="000B7BCF"/>
    <w:rsid w:val="000C522B"/>
    <w:rsid w:val="000D2AB5"/>
    <w:rsid w:val="000D58AB"/>
    <w:rsid w:val="001112E3"/>
    <w:rsid w:val="00111824"/>
    <w:rsid w:val="0011230B"/>
    <w:rsid w:val="00112F1A"/>
    <w:rsid w:val="0013108D"/>
    <w:rsid w:val="0014481A"/>
    <w:rsid w:val="00145075"/>
    <w:rsid w:val="00174035"/>
    <w:rsid w:val="001741A0"/>
    <w:rsid w:val="00175FA0"/>
    <w:rsid w:val="00181BB5"/>
    <w:rsid w:val="00183BFC"/>
    <w:rsid w:val="00194CD0"/>
    <w:rsid w:val="00196298"/>
    <w:rsid w:val="001B418C"/>
    <w:rsid w:val="001B49C9"/>
    <w:rsid w:val="001B7464"/>
    <w:rsid w:val="001B7FC7"/>
    <w:rsid w:val="001C02C6"/>
    <w:rsid w:val="001C23F4"/>
    <w:rsid w:val="001C4F79"/>
    <w:rsid w:val="001C74B6"/>
    <w:rsid w:val="001F168B"/>
    <w:rsid w:val="001F18D3"/>
    <w:rsid w:val="001F5FA9"/>
    <w:rsid w:val="001F7831"/>
    <w:rsid w:val="00204045"/>
    <w:rsid w:val="0020712B"/>
    <w:rsid w:val="00213149"/>
    <w:rsid w:val="00217BDA"/>
    <w:rsid w:val="00221435"/>
    <w:rsid w:val="0022606D"/>
    <w:rsid w:val="00226268"/>
    <w:rsid w:val="00231728"/>
    <w:rsid w:val="00244914"/>
    <w:rsid w:val="00244A05"/>
    <w:rsid w:val="00250404"/>
    <w:rsid w:val="002610D8"/>
    <w:rsid w:val="00261423"/>
    <w:rsid w:val="00264E4E"/>
    <w:rsid w:val="002704A0"/>
    <w:rsid w:val="002747EC"/>
    <w:rsid w:val="002855BF"/>
    <w:rsid w:val="002874D9"/>
    <w:rsid w:val="002E50B6"/>
    <w:rsid w:val="002E58EF"/>
    <w:rsid w:val="002F0D10"/>
    <w:rsid w:val="002F0D22"/>
    <w:rsid w:val="002F28CE"/>
    <w:rsid w:val="00302D01"/>
    <w:rsid w:val="00311B17"/>
    <w:rsid w:val="003172DC"/>
    <w:rsid w:val="00325AE3"/>
    <w:rsid w:val="00326069"/>
    <w:rsid w:val="0035462D"/>
    <w:rsid w:val="0036459E"/>
    <w:rsid w:val="00364B41"/>
    <w:rsid w:val="00370AF6"/>
    <w:rsid w:val="00377F10"/>
    <w:rsid w:val="00383096"/>
    <w:rsid w:val="0039346C"/>
    <w:rsid w:val="003A41EF"/>
    <w:rsid w:val="003A5493"/>
    <w:rsid w:val="003A7022"/>
    <w:rsid w:val="003B40AD"/>
    <w:rsid w:val="003C4E37"/>
    <w:rsid w:val="003E16BE"/>
    <w:rsid w:val="003E2225"/>
    <w:rsid w:val="003F4E28"/>
    <w:rsid w:val="004006E8"/>
    <w:rsid w:val="00401855"/>
    <w:rsid w:val="00407A6F"/>
    <w:rsid w:val="004274ED"/>
    <w:rsid w:val="00440D7F"/>
    <w:rsid w:val="0044438C"/>
    <w:rsid w:val="0044667D"/>
    <w:rsid w:val="00447B37"/>
    <w:rsid w:val="00465587"/>
    <w:rsid w:val="00477455"/>
    <w:rsid w:val="004A1F7B"/>
    <w:rsid w:val="004C44D2"/>
    <w:rsid w:val="004D3578"/>
    <w:rsid w:val="004D380D"/>
    <w:rsid w:val="004E213A"/>
    <w:rsid w:val="004F4540"/>
    <w:rsid w:val="004F73A7"/>
    <w:rsid w:val="00503171"/>
    <w:rsid w:val="00506C28"/>
    <w:rsid w:val="00510699"/>
    <w:rsid w:val="00510CFD"/>
    <w:rsid w:val="00513FAB"/>
    <w:rsid w:val="00534DA0"/>
    <w:rsid w:val="00537D9C"/>
    <w:rsid w:val="00540D83"/>
    <w:rsid w:val="00543E6C"/>
    <w:rsid w:val="00545A24"/>
    <w:rsid w:val="00562BC8"/>
    <w:rsid w:val="00565087"/>
    <w:rsid w:val="0056573F"/>
    <w:rsid w:val="00571279"/>
    <w:rsid w:val="005935B2"/>
    <w:rsid w:val="005A49C6"/>
    <w:rsid w:val="005A63BB"/>
    <w:rsid w:val="005D0A9F"/>
    <w:rsid w:val="005D4D8F"/>
    <w:rsid w:val="005E7942"/>
    <w:rsid w:val="00602F7F"/>
    <w:rsid w:val="00611566"/>
    <w:rsid w:val="00622EB4"/>
    <w:rsid w:val="00624816"/>
    <w:rsid w:val="00646D99"/>
    <w:rsid w:val="00656910"/>
    <w:rsid w:val="006574C0"/>
    <w:rsid w:val="006706B3"/>
    <w:rsid w:val="006813FE"/>
    <w:rsid w:val="00686326"/>
    <w:rsid w:val="00696821"/>
    <w:rsid w:val="006976E7"/>
    <w:rsid w:val="006A435E"/>
    <w:rsid w:val="006A48AF"/>
    <w:rsid w:val="006A4A57"/>
    <w:rsid w:val="006A6CD8"/>
    <w:rsid w:val="006B5B86"/>
    <w:rsid w:val="006C66D8"/>
    <w:rsid w:val="006D1E24"/>
    <w:rsid w:val="006D35DE"/>
    <w:rsid w:val="006D5772"/>
    <w:rsid w:val="006E1417"/>
    <w:rsid w:val="006F6A2C"/>
    <w:rsid w:val="007069DC"/>
    <w:rsid w:val="00710201"/>
    <w:rsid w:val="007134F1"/>
    <w:rsid w:val="0072073A"/>
    <w:rsid w:val="007342B5"/>
    <w:rsid w:val="00734A5B"/>
    <w:rsid w:val="00737125"/>
    <w:rsid w:val="00744E76"/>
    <w:rsid w:val="00757D40"/>
    <w:rsid w:val="00761DF9"/>
    <w:rsid w:val="007662B5"/>
    <w:rsid w:val="00781F0F"/>
    <w:rsid w:val="0078727C"/>
    <w:rsid w:val="0079049D"/>
    <w:rsid w:val="00793DC5"/>
    <w:rsid w:val="00796823"/>
    <w:rsid w:val="007A2E55"/>
    <w:rsid w:val="007B18D8"/>
    <w:rsid w:val="007B1F2F"/>
    <w:rsid w:val="007C0482"/>
    <w:rsid w:val="007C095F"/>
    <w:rsid w:val="007C2DD0"/>
    <w:rsid w:val="007C3954"/>
    <w:rsid w:val="007D1038"/>
    <w:rsid w:val="007F2E08"/>
    <w:rsid w:val="007F682C"/>
    <w:rsid w:val="008028A4"/>
    <w:rsid w:val="008101E8"/>
    <w:rsid w:val="00812C8B"/>
    <w:rsid w:val="00813245"/>
    <w:rsid w:val="00826C14"/>
    <w:rsid w:val="00831AE4"/>
    <w:rsid w:val="00840DE0"/>
    <w:rsid w:val="00855A49"/>
    <w:rsid w:val="008607A8"/>
    <w:rsid w:val="0086354A"/>
    <w:rsid w:val="00874630"/>
    <w:rsid w:val="008768CA"/>
    <w:rsid w:val="00877EF9"/>
    <w:rsid w:val="00880559"/>
    <w:rsid w:val="0088139A"/>
    <w:rsid w:val="00881C8B"/>
    <w:rsid w:val="0088514B"/>
    <w:rsid w:val="008B1373"/>
    <w:rsid w:val="008B5306"/>
    <w:rsid w:val="008C2E2A"/>
    <w:rsid w:val="008C3057"/>
    <w:rsid w:val="008C7FE1"/>
    <w:rsid w:val="008D2E4D"/>
    <w:rsid w:val="008F396F"/>
    <w:rsid w:val="008F3DCD"/>
    <w:rsid w:val="0090271F"/>
    <w:rsid w:val="00902DB9"/>
    <w:rsid w:val="0090466A"/>
    <w:rsid w:val="00914D76"/>
    <w:rsid w:val="0091501E"/>
    <w:rsid w:val="00923655"/>
    <w:rsid w:val="00924B4F"/>
    <w:rsid w:val="00926489"/>
    <w:rsid w:val="009302A6"/>
    <w:rsid w:val="00936071"/>
    <w:rsid w:val="009376CD"/>
    <w:rsid w:val="00940212"/>
    <w:rsid w:val="00941134"/>
    <w:rsid w:val="00942EC2"/>
    <w:rsid w:val="00945DAE"/>
    <w:rsid w:val="0095364A"/>
    <w:rsid w:val="00961B32"/>
    <w:rsid w:val="00962509"/>
    <w:rsid w:val="00970DB3"/>
    <w:rsid w:val="00974BB0"/>
    <w:rsid w:val="00975BCD"/>
    <w:rsid w:val="0098485B"/>
    <w:rsid w:val="009928A9"/>
    <w:rsid w:val="009950DE"/>
    <w:rsid w:val="009A0AF3"/>
    <w:rsid w:val="009B07CD"/>
    <w:rsid w:val="009C19E9"/>
    <w:rsid w:val="009D74A6"/>
    <w:rsid w:val="009E0E87"/>
    <w:rsid w:val="009E343A"/>
    <w:rsid w:val="009F5CAD"/>
    <w:rsid w:val="00A10F02"/>
    <w:rsid w:val="00A204CA"/>
    <w:rsid w:val="00A209D6"/>
    <w:rsid w:val="00A22738"/>
    <w:rsid w:val="00A430EC"/>
    <w:rsid w:val="00A53724"/>
    <w:rsid w:val="00A54B2B"/>
    <w:rsid w:val="00A82346"/>
    <w:rsid w:val="00A87E86"/>
    <w:rsid w:val="00A908FE"/>
    <w:rsid w:val="00A9671C"/>
    <w:rsid w:val="00AA1553"/>
    <w:rsid w:val="00AD106F"/>
    <w:rsid w:val="00AE08A6"/>
    <w:rsid w:val="00AE0F44"/>
    <w:rsid w:val="00AE34B0"/>
    <w:rsid w:val="00B001B3"/>
    <w:rsid w:val="00B012B4"/>
    <w:rsid w:val="00B05380"/>
    <w:rsid w:val="00B05962"/>
    <w:rsid w:val="00B06D95"/>
    <w:rsid w:val="00B12E7D"/>
    <w:rsid w:val="00B15449"/>
    <w:rsid w:val="00B16C2F"/>
    <w:rsid w:val="00B27303"/>
    <w:rsid w:val="00B408F1"/>
    <w:rsid w:val="00B4540D"/>
    <w:rsid w:val="00B47FD1"/>
    <w:rsid w:val="00B516BB"/>
    <w:rsid w:val="00B713AF"/>
    <w:rsid w:val="00B7300C"/>
    <w:rsid w:val="00B7538C"/>
    <w:rsid w:val="00B828A3"/>
    <w:rsid w:val="00B84DB2"/>
    <w:rsid w:val="00B9178F"/>
    <w:rsid w:val="00B93D54"/>
    <w:rsid w:val="00BB6734"/>
    <w:rsid w:val="00BC2274"/>
    <w:rsid w:val="00BC3555"/>
    <w:rsid w:val="00BD49EC"/>
    <w:rsid w:val="00BD712A"/>
    <w:rsid w:val="00BE4C66"/>
    <w:rsid w:val="00BF5B0C"/>
    <w:rsid w:val="00BF7389"/>
    <w:rsid w:val="00C03303"/>
    <w:rsid w:val="00C12B51"/>
    <w:rsid w:val="00C1500F"/>
    <w:rsid w:val="00C23B0F"/>
    <w:rsid w:val="00C23FE6"/>
    <w:rsid w:val="00C24650"/>
    <w:rsid w:val="00C25465"/>
    <w:rsid w:val="00C33079"/>
    <w:rsid w:val="00C35E34"/>
    <w:rsid w:val="00C37712"/>
    <w:rsid w:val="00C37F68"/>
    <w:rsid w:val="00C53EE5"/>
    <w:rsid w:val="00C55A12"/>
    <w:rsid w:val="00C63E91"/>
    <w:rsid w:val="00C643E2"/>
    <w:rsid w:val="00C6553E"/>
    <w:rsid w:val="00C83A13"/>
    <w:rsid w:val="00C86F10"/>
    <w:rsid w:val="00C9068C"/>
    <w:rsid w:val="00C92967"/>
    <w:rsid w:val="00CA3D0C"/>
    <w:rsid w:val="00CA654B"/>
    <w:rsid w:val="00CB473E"/>
    <w:rsid w:val="00CB72B8"/>
    <w:rsid w:val="00CC4E2E"/>
    <w:rsid w:val="00CD0BA8"/>
    <w:rsid w:val="00CD4C7B"/>
    <w:rsid w:val="00CD58FE"/>
    <w:rsid w:val="00CD6DA4"/>
    <w:rsid w:val="00CE514C"/>
    <w:rsid w:val="00D001B4"/>
    <w:rsid w:val="00D02860"/>
    <w:rsid w:val="00D052C8"/>
    <w:rsid w:val="00D14F29"/>
    <w:rsid w:val="00D22303"/>
    <w:rsid w:val="00D232FB"/>
    <w:rsid w:val="00D268ED"/>
    <w:rsid w:val="00D33BE3"/>
    <w:rsid w:val="00D3792D"/>
    <w:rsid w:val="00D55E47"/>
    <w:rsid w:val="00D62E19"/>
    <w:rsid w:val="00D67CD1"/>
    <w:rsid w:val="00D738D6"/>
    <w:rsid w:val="00D80795"/>
    <w:rsid w:val="00D854BE"/>
    <w:rsid w:val="00D87E00"/>
    <w:rsid w:val="00D9134D"/>
    <w:rsid w:val="00D96D11"/>
    <w:rsid w:val="00DA47AF"/>
    <w:rsid w:val="00DA7A03"/>
    <w:rsid w:val="00DB0DB8"/>
    <w:rsid w:val="00DB1818"/>
    <w:rsid w:val="00DB513D"/>
    <w:rsid w:val="00DC309B"/>
    <w:rsid w:val="00DC4DA2"/>
    <w:rsid w:val="00DC5261"/>
    <w:rsid w:val="00DD51C8"/>
    <w:rsid w:val="00DE0251"/>
    <w:rsid w:val="00DE25D2"/>
    <w:rsid w:val="00DE6201"/>
    <w:rsid w:val="00DF5686"/>
    <w:rsid w:val="00E00596"/>
    <w:rsid w:val="00E06A3A"/>
    <w:rsid w:val="00E23605"/>
    <w:rsid w:val="00E2417F"/>
    <w:rsid w:val="00E46C08"/>
    <w:rsid w:val="00E471CF"/>
    <w:rsid w:val="00E62835"/>
    <w:rsid w:val="00E70476"/>
    <w:rsid w:val="00E77645"/>
    <w:rsid w:val="00E83697"/>
    <w:rsid w:val="00E859B6"/>
    <w:rsid w:val="00E92C57"/>
    <w:rsid w:val="00EA4DAB"/>
    <w:rsid w:val="00EA66C9"/>
    <w:rsid w:val="00EC2A3F"/>
    <w:rsid w:val="00EC4A25"/>
    <w:rsid w:val="00EE43C1"/>
    <w:rsid w:val="00EF612C"/>
    <w:rsid w:val="00F025A2"/>
    <w:rsid w:val="00F036E9"/>
    <w:rsid w:val="00F053EA"/>
    <w:rsid w:val="00F07388"/>
    <w:rsid w:val="00F15E74"/>
    <w:rsid w:val="00F2026E"/>
    <w:rsid w:val="00F2210A"/>
    <w:rsid w:val="00F26C1C"/>
    <w:rsid w:val="00F31372"/>
    <w:rsid w:val="00F37743"/>
    <w:rsid w:val="00F44E06"/>
    <w:rsid w:val="00F54A3D"/>
    <w:rsid w:val="00F54CB0"/>
    <w:rsid w:val="00F579CD"/>
    <w:rsid w:val="00F653B8"/>
    <w:rsid w:val="00F71B89"/>
    <w:rsid w:val="00F7353C"/>
    <w:rsid w:val="00F76F8F"/>
    <w:rsid w:val="00F81881"/>
    <w:rsid w:val="00F941DF"/>
    <w:rsid w:val="00F963B1"/>
    <w:rsid w:val="00F96D03"/>
    <w:rsid w:val="00FA1266"/>
    <w:rsid w:val="00FA2890"/>
    <w:rsid w:val="00FB36FA"/>
    <w:rsid w:val="00FC1192"/>
    <w:rsid w:val="00FC6F68"/>
    <w:rsid w:val="00FC7CB9"/>
    <w:rsid w:val="00FD4925"/>
    <w:rsid w:val="00FD51CB"/>
    <w:rsid w:val="00FE106D"/>
    <w:rsid w:val="00FE251B"/>
    <w:rsid w:val="00FE4A29"/>
    <w:rsid w:val="00FF7B9A"/>
    <w:rsid w:val="0879B959"/>
    <w:rsid w:val="09B1A0D4"/>
    <w:rsid w:val="1089F3BD"/>
    <w:rsid w:val="1BEE7854"/>
    <w:rsid w:val="2D582DFA"/>
    <w:rsid w:val="337C797C"/>
    <w:rsid w:val="33F3E6A1"/>
    <w:rsid w:val="3449FC88"/>
    <w:rsid w:val="392AE9CB"/>
    <w:rsid w:val="4071F34D"/>
    <w:rsid w:val="5726A052"/>
    <w:rsid w:val="5FA1FB40"/>
    <w:rsid w:val="66E3A418"/>
    <w:rsid w:val="6FF0070A"/>
    <w:rsid w:val="72C57A2A"/>
    <w:rsid w:val="7D57DB0D"/>
    <w:rsid w:val="7D917A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37712"/>
    <w:rPr>
      <w:sz w:val="16"/>
      <w:szCs w:val="16"/>
    </w:rPr>
  </w:style>
  <w:style w:type="paragraph" w:styleId="CommentText">
    <w:name w:val="annotation text"/>
    <w:basedOn w:val="Normal"/>
    <w:link w:val="CommentTextChar"/>
    <w:rsid w:val="00C37712"/>
  </w:style>
  <w:style w:type="character" w:customStyle="1" w:styleId="CommentTextChar">
    <w:name w:val="Comment Text Char"/>
    <w:basedOn w:val="DefaultParagraphFont"/>
    <w:link w:val="CommentText"/>
    <w:rsid w:val="00C37712"/>
    <w:rPr>
      <w:lang w:eastAsia="en-US"/>
    </w:rPr>
  </w:style>
  <w:style w:type="paragraph" w:styleId="CommentSubject">
    <w:name w:val="annotation subject"/>
    <w:basedOn w:val="CommentText"/>
    <w:next w:val="CommentText"/>
    <w:link w:val="CommentSubjectChar"/>
    <w:rsid w:val="00C37712"/>
    <w:rPr>
      <w:b/>
      <w:bCs/>
    </w:rPr>
  </w:style>
  <w:style w:type="character" w:customStyle="1" w:styleId="CommentSubjectChar">
    <w:name w:val="Comment Subject Char"/>
    <w:basedOn w:val="CommentTextChar"/>
    <w:link w:val="CommentSubject"/>
    <w:rsid w:val="00C37712"/>
    <w:rPr>
      <w:b/>
      <w:bCs/>
      <w:lang w:eastAsia="en-US"/>
    </w:rPr>
  </w:style>
  <w:style w:type="paragraph" w:customStyle="1" w:styleId="Doc-text2">
    <w:name w:val="Doc-text2"/>
    <w:basedOn w:val="Normal"/>
    <w:link w:val="Doc-text2Char"/>
    <w:qFormat/>
    <w:rsid w:val="00BF5B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F5B0C"/>
    <w:rPr>
      <w:rFonts w:ascii="Arial" w:eastAsia="MS Mincho" w:hAnsi="Arial"/>
      <w:szCs w:val="24"/>
    </w:rPr>
  </w:style>
  <w:style w:type="paragraph" w:styleId="NormalWeb">
    <w:name w:val="Normal (Web)"/>
    <w:basedOn w:val="Normal"/>
    <w:uiPriority w:val="99"/>
    <w:unhideWhenUsed/>
    <w:rsid w:val="006A48AF"/>
    <w:pPr>
      <w:spacing w:before="100" w:beforeAutospacing="1" w:after="100" w:afterAutospacing="1"/>
    </w:pPr>
    <w:rPr>
      <w:sz w:val="24"/>
      <w:szCs w:val="24"/>
      <w:lang w:val="de-DE" w:eastAsia="de-DE"/>
    </w:rPr>
  </w:style>
  <w:style w:type="paragraph" w:styleId="ListParagraph">
    <w:name w:val="List Paragraph"/>
    <w:basedOn w:val="Normal"/>
    <w:uiPriority w:val="34"/>
    <w:qFormat/>
    <w:rsid w:val="00F963B1"/>
    <w:pPr>
      <w:ind w:left="720"/>
      <w:contextualSpacing/>
    </w:pPr>
  </w:style>
  <w:style w:type="character" w:customStyle="1" w:styleId="normaltextrun">
    <w:name w:val="normaltextrun"/>
    <w:basedOn w:val="DefaultParagraphFont"/>
    <w:rsid w:val="00F15E74"/>
  </w:style>
  <w:style w:type="table" w:styleId="TableGrid">
    <w:name w:val="Table Grid"/>
    <w:basedOn w:val="TableNormal"/>
    <w:uiPriority w:val="59"/>
    <w:rsid w:val="00F15E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15E74"/>
    <w:pPr>
      <w:spacing w:before="100" w:beforeAutospacing="1" w:after="100" w:afterAutospacing="1"/>
    </w:pPr>
    <w:rPr>
      <w:sz w:val="24"/>
      <w:szCs w:val="24"/>
      <w:lang w:val="de-DE" w:eastAsia="de-DE"/>
    </w:rPr>
  </w:style>
  <w:style w:type="character" w:customStyle="1" w:styleId="eop">
    <w:name w:val="eop"/>
    <w:basedOn w:val="DefaultParagraphFont"/>
    <w:rsid w:val="00F15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885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83971088">
      <w:bodyDiv w:val="1"/>
      <w:marLeft w:val="0"/>
      <w:marRight w:val="0"/>
      <w:marTop w:val="0"/>
      <w:marBottom w:val="0"/>
      <w:divBdr>
        <w:top w:val="none" w:sz="0" w:space="0" w:color="auto"/>
        <w:left w:val="none" w:sz="0" w:space="0" w:color="auto"/>
        <w:bottom w:val="none" w:sz="0" w:space="0" w:color="auto"/>
        <w:right w:val="none" w:sz="0" w:space="0" w:color="auto"/>
      </w:divBdr>
    </w:div>
    <w:div w:id="1724988313">
      <w:bodyDiv w:val="1"/>
      <w:marLeft w:val="0"/>
      <w:marRight w:val="0"/>
      <w:marTop w:val="0"/>
      <w:marBottom w:val="0"/>
      <w:divBdr>
        <w:top w:val="none" w:sz="0" w:space="0" w:color="auto"/>
        <w:left w:val="none" w:sz="0" w:space="0" w:color="auto"/>
        <w:bottom w:val="none" w:sz="0" w:space="0" w:color="auto"/>
        <w:right w:val="none" w:sz="0" w:space="0" w:color="auto"/>
      </w:divBdr>
    </w:div>
    <w:div w:id="1785691127">
      <w:bodyDiv w:val="1"/>
      <w:marLeft w:val="0"/>
      <w:marRight w:val="0"/>
      <w:marTop w:val="0"/>
      <w:marBottom w:val="0"/>
      <w:divBdr>
        <w:top w:val="none" w:sz="0" w:space="0" w:color="auto"/>
        <w:left w:val="none" w:sz="0" w:space="0" w:color="auto"/>
        <w:bottom w:val="none" w:sz="0" w:space="0" w:color="auto"/>
        <w:right w:val="none" w:sz="0" w:space="0" w:color="auto"/>
      </w:divBdr>
    </w:div>
    <w:div w:id="198138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ab2ac3cf11a84bef"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5AIRPNAIUNRU-859666464-7956</_dlc_DocId>
    <_dlc_DocIdUrl xmlns="71c5aaf6-e6ce-465b-b873-5148d2a4c105">
      <Url>https://nokia.sharepoint.com/sites/c5g/e2earch/_layouts/15/DocIdRedir.aspx?ID=5AIRPNAIUNRU-859666464-7956</Url>
      <Description>5AIRPNAIUNRU-859666464-7956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C308EAC-AE9F-4F88-B971-4ACF1F84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49</cp:revision>
  <dcterms:created xsi:type="dcterms:W3CDTF">2021-01-05T09:54:00Z</dcterms:created>
  <dcterms:modified xsi:type="dcterms:W3CDTF">2021-01-14T16:26:00Z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e5ec9987-791f-4bc3-84e0-013f436e86ec</vt:lpwstr>
  </property>
</Properties>
</file>